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黑体"/>
          <w:sz w:val="32"/>
          <w:szCs w:val="32"/>
        </w:rPr>
      </w:pPr>
    </w:p>
    <w:p>
      <w:pPr>
        <w:keepNext w:val="0"/>
        <w:keepLines w:val="0"/>
        <w:pageBreakBefore w:val="0"/>
        <w:widowControl w:val="0"/>
        <w:kinsoku/>
        <w:wordWrap w:val="0"/>
        <w:overflowPunct/>
        <w:topLinePunct w:val="0"/>
        <w:autoSpaceDE/>
        <w:autoSpaceDN/>
        <w:bidi w:val="0"/>
        <w:adjustRightInd/>
        <w:snapToGrid/>
        <w:spacing w:line="480" w:lineRule="exact"/>
        <w:ind w:right="0" w:rightChars="0"/>
        <w:textAlignment w:val="auto"/>
        <w:outlineLvl w:val="9"/>
        <w:rPr>
          <w:rFonts w:ascii="方正小标宋简体" w:eastAsia="方正小标宋简体"/>
          <w:sz w:val="36"/>
          <w:szCs w:val="36"/>
        </w:rPr>
      </w:pPr>
      <w:r>
        <w:rPr>
          <w:rFonts w:hint="eastAsia" w:ascii="黑体" w:hAnsi="黑体" w:eastAsia="黑体"/>
          <w:sz w:val="32"/>
          <w:szCs w:val="32"/>
        </w:rPr>
        <w:t>附件</w:t>
      </w:r>
      <w:r>
        <w:rPr>
          <w:rFonts w:hint="eastAsia" w:ascii="黑体" w:hAnsi="黑体" w:eastAsia="黑体"/>
          <w:sz w:val="32"/>
          <w:szCs w:val="32"/>
          <w:lang w:val="en-US" w:eastAsia="zh-CN"/>
        </w:rPr>
        <w:t>1</w:t>
      </w:r>
    </w:p>
    <w:p>
      <w:pPr>
        <w:keepNext w:val="0"/>
        <w:keepLines w:val="0"/>
        <w:pageBreakBefore w:val="0"/>
        <w:widowControl w:val="0"/>
        <w:kinsoku/>
        <w:wordWrap w:val="0"/>
        <w:overflowPunct/>
        <w:topLinePunct w:val="0"/>
        <w:autoSpaceDE/>
        <w:autoSpaceDN/>
        <w:bidi w:val="0"/>
        <w:adjustRightInd/>
        <w:snapToGrid/>
        <w:spacing w:line="560" w:lineRule="exact"/>
        <w:ind w:right="0" w:rightChars="0"/>
        <w:jc w:val="center"/>
        <w:textAlignment w:val="auto"/>
        <w:outlineLvl w:val="9"/>
        <w:rPr>
          <w:rFonts w:ascii="方正小标宋简体" w:eastAsia="方正小标宋简体"/>
          <w:sz w:val="36"/>
          <w:szCs w:val="36"/>
        </w:rPr>
      </w:pPr>
      <w:r>
        <w:rPr>
          <w:rFonts w:hint="eastAsia" w:ascii="方正小标宋简体" w:eastAsia="方正小标宋简体"/>
          <w:sz w:val="36"/>
          <w:szCs w:val="36"/>
        </w:rPr>
        <w:t>部门整体绩效评价报告</w:t>
      </w:r>
    </w:p>
    <w:p>
      <w:pPr>
        <w:keepNext w:val="0"/>
        <w:keepLines w:val="0"/>
        <w:pageBreakBefore w:val="0"/>
        <w:widowControl w:val="0"/>
        <w:kinsoku/>
        <w:wordWrap w:val="0"/>
        <w:overflowPunct/>
        <w:topLinePunct w:val="0"/>
        <w:autoSpaceDE/>
        <w:autoSpaceDN/>
        <w:bidi w:val="0"/>
        <w:adjustRightInd/>
        <w:snapToGrid/>
        <w:ind w:right="0" w:rightChars="0"/>
        <w:jc w:val="center"/>
        <w:textAlignment w:val="auto"/>
        <w:outlineLvl w:val="9"/>
        <w:rPr>
          <w:rFonts w:ascii="仿宋_GB2312"/>
          <w:szCs w:val="30"/>
        </w:rPr>
      </w:pP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北京商务中心区管理委员会是2001年批复成立的市政府在商务中心区设立的行政机构，委托朝阳区人民政府管理，代表市政府统一行使北京商务中心区开发建设和管理职能，与区委商务中心区工委合署办公。中共北京市朝阳区委北京商务中心区工作委员会(简称区委商务中心区工委)是根据区委授权负责开展北京商务中心区规模以上楼宇内的非公有制经济组织和新社会组织党建工作的区委派出机构。商务中心区管委会主要职责是</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贯彻落实国家和北京市相关法律法规、规章和政策，执行国家和北京市关于商务中心区和金盏国际合作服务区建设发展的相关政策，以及市委、市政府和区委、区政府的有关决议决定等。</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262626"/>
          <w:kern w:val="0"/>
          <w:sz w:val="32"/>
          <w:szCs w:val="32"/>
          <w:lang w:eastAsia="zh-CN"/>
        </w:rPr>
      </w:pPr>
      <w:r>
        <w:rPr>
          <w:rFonts w:hint="default" w:ascii="Times New Roman" w:hAnsi="Times New Roman" w:eastAsia="仿宋_GB2312" w:cs="Times New Roman"/>
          <w:sz w:val="32"/>
          <w:szCs w:val="32"/>
        </w:rPr>
        <w:t>北京商务中心区管理委员会</w:t>
      </w:r>
      <w:r>
        <w:rPr>
          <w:rFonts w:hint="default" w:ascii="Times New Roman" w:hAnsi="Times New Roman" w:eastAsia="仿宋_GB2312" w:cs="Times New Roman"/>
          <w:sz w:val="32"/>
          <w:szCs w:val="32"/>
          <w:lang w:eastAsia="zh-CN"/>
        </w:rPr>
        <w:t>下属两个事业单位，分别为</w:t>
      </w:r>
      <w:r>
        <w:rPr>
          <w:rFonts w:hint="default" w:ascii="Times New Roman" w:hAnsi="Times New Roman" w:eastAsia="仿宋_GB2312" w:cs="Times New Roman"/>
          <w:sz w:val="32"/>
          <w:szCs w:val="32"/>
        </w:rPr>
        <w:t>北京商务中心区</w:t>
      </w:r>
      <w:r>
        <w:rPr>
          <w:rFonts w:hint="default" w:ascii="Times New Roman" w:hAnsi="Times New Roman" w:eastAsia="仿宋_GB2312" w:cs="Times New Roman"/>
          <w:sz w:val="32"/>
          <w:szCs w:val="32"/>
          <w:lang w:eastAsia="zh-CN"/>
        </w:rPr>
        <w:t>公共服务管理中心、</w:t>
      </w:r>
      <w:r>
        <w:rPr>
          <w:rFonts w:hint="default" w:ascii="Times New Roman" w:hAnsi="Times New Roman" w:eastAsia="仿宋_GB2312" w:cs="Times New Roman"/>
          <w:sz w:val="32"/>
          <w:szCs w:val="32"/>
        </w:rPr>
        <w:t>北京商</w:t>
      </w:r>
      <w:r>
        <w:rPr>
          <w:rFonts w:hint="default" w:ascii="Times New Roman" w:hAnsi="Times New Roman" w:eastAsia="仿宋_GB2312" w:cs="Times New Roman"/>
          <w:color w:val="262626"/>
          <w:kern w:val="0"/>
          <w:sz w:val="32"/>
          <w:szCs w:val="32"/>
        </w:rPr>
        <w:t>务中心区</w:t>
      </w:r>
      <w:r>
        <w:rPr>
          <w:rFonts w:hint="default" w:ascii="Times New Roman" w:hAnsi="Times New Roman" w:eastAsia="仿宋_GB2312" w:cs="Times New Roman"/>
          <w:color w:val="262626"/>
          <w:kern w:val="0"/>
          <w:sz w:val="32"/>
          <w:szCs w:val="32"/>
          <w:lang w:eastAsia="zh-CN"/>
        </w:rPr>
        <w:t>土地资源发展中心。</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Times New Roman"/>
          <w:color w:val="262626"/>
          <w:kern w:val="0"/>
          <w:sz w:val="32"/>
          <w:szCs w:val="32"/>
        </w:rPr>
      </w:pPr>
      <w:r>
        <w:rPr>
          <w:rFonts w:hint="default" w:ascii="Times New Roman" w:hAnsi="Times New Roman" w:eastAsia="仿宋_GB2312" w:cs="Times New Roman"/>
          <w:color w:val="262626"/>
          <w:kern w:val="0"/>
          <w:sz w:val="32"/>
          <w:szCs w:val="32"/>
        </w:rPr>
        <w:t>2024年，北京商务中心区管委会围绕“建设国际一流的商务中心区”，开拓进取、主动作为，推动区域高质量发展取得阶段性进展。一是坚定发展信心，推动CBD经济高质量发展。招商引资取得显著成效，新增入库项目84个，新增落地项目39个，新增项目吸引投资93.3亿元，重点企业增资27亿元。二是坚持先行先试，发挥“两区”建设主阵地作用。落地自贸试验区扩大开放试点政策；积极协调落实自贸区医疗领域扩大开放、重点行业再制造产品进口等试点工作；促进数据要素流通。三是对标国际先进，全面优化提升营商环境。持续健全市场化体系，完善法治化机制，强化国际化理念，深化精准化服务。四是加强创新引领，激发商圈消费活力。用足用好政策提升商圈吸引力，举办系列活动提升消费活力，加快特色街区建设丰富消费场景，优化消费环境提升便捷性。五是加强开放合作，国际化品牌形象进一步凸显。积极扩大国际交往“朋友圈”，打造多元化国际交流平台，持续打造全球招商网络。六是紧抓重大项目建设，城市发展空间进一步扩容提质。CBD核心区建设全面提速，金盏园区规划建设扎实推动，地区交通服务水平不断提高。</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262626"/>
          <w:kern w:val="0"/>
          <w:sz w:val="32"/>
          <w:szCs w:val="32"/>
          <w:lang w:eastAsia="zh-CN"/>
        </w:rPr>
      </w:pPr>
      <w:r>
        <w:rPr>
          <w:rFonts w:hint="default" w:ascii="Times New Roman" w:hAnsi="Times New Roman" w:eastAsia="仿宋_GB2312" w:cs="Times New Roman"/>
          <w:color w:val="262626"/>
          <w:kern w:val="0"/>
          <w:sz w:val="32"/>
          <w:szCs w:val="32"/>
        </w:rPr>
        <w:t>按照部门职责及年初工作计划，为提高预算资金管理水平</w:t>
      </w:r>
      <w:r>
        <w:rPr>
          <w:rFonts w:hint="eastAsia" w:ascii="Times New Roman" w:hAnsi="Times New Roman" w:eastAsia="仿宋_GB2312" w:cs="Times New Roman"/>
          <w:color w:val="262626"/>
          <w:kern w:val="0"/>
          <w:sz w:val="32"/>
          <w:szCs w:val="32"/>
          <w:lang w:eastAsia="zh-CN"/>
        </w:rPr>
        <w:t>、</w:t>
      </w:r>
      <w:r>
        <w:rPr>
          <w:rFonts w:hint="default" w:ascii="Times New Roman" w:hAnsi="Times New Roman" w:eastAsia="仿宋_GB2312" w:cs="Times New Roman"/>
          <w:color w:val="262626"/>
          <w:kern w:val="0"/>
          <w:sz w:val="32"/>
          <w:szCs w:val="32"/>
        </w:rPr>
        <w:t>检验经费支出预期目标实现程度</w:t>
      </w:r>
      <w:bookmarkStart w:id="0" w:name="_Hlk53567156"/>
      <w:r>
        <w:rPr>
          <w:rFonts w:hint="eastAsia" w:ascii="Times New Roman" w:hAnsi="Times New Roman" w:eastAsia="仿宋_GB2312" w:cs="Times New Roman"/>
          <w:color w:val="262626"/>
          <w:kern w:val="0"/>
          <w:sz w:val="32"/>
          <w:szCs w:val="32"/>
          <w:lang w:eastAsia="zh-CN"/>
        </w:rPr>
        <w:t>、</w:t>
      </w:r>
      <w:r>
        <w:rPr>
          <w:rFonts w:hint="default" w:ascii="Times New Roman" w:hAnsi="Times New Roman" w:eastAsia="仿宋_GB2312" w:cs="Times New Roman"/>
          <w:color w:val="262626"/>
          <w:kern w:val="0"/>
          <w:sz w:val="32"/>
          <w:szCs w:val="32"/>
        </w:rPr>
        <w:t>考核经费支出效率和综合效果，</w:t>
      </w:r>
      <w:bookmarkEnd w:id="0"/>
      <w:r>
        <w:rPr>
          <w:rFonts w:hint="default" w:ascii="Times New Roman" w:hAnsi="Times New Roman" w:eastAsia="仿宋_GB2312" w:cs="Times New Roman"/>
          <w:color w:val="262626"/>
          <w:kern w:val="0"/>
          <w:sz w:val="32"/>
          <w:szCs w:val="32"/>
        </w:rPr>
        <w:t>根据《北京市项目支出绩效评价管理办法》（京财绩效〔2020〕2146号），</w:t>
      </w:r>
      <w:r>
        <w:rPr>
          <w:rFonts w:hint="default" w:ascii="Times New Roman" w:hAnsi="Times New Roman" w:eastAsia="仿宋_GB2312" w:cs="Times New Roman"/>
          <w:color w:val="262626"/>
          <w:kern w:val="0"/>
          <w:sz w:val="32"/>
          <w:szCs w:val="32"/>
          <w:lang w:val="en-US" w:eastAsia="zh-CN"/>
        </w:rPr>
        <w:t>我</w:t>
      </w:r>
      <w:r>
        <w:rPr>
          <w:rFonts w:hint="default" w:ascii="Times New Roman" w:hAnsi="Times New Roman" w:eastAsia="仿宋_GB2312" w:cs="Times New Roman"/>
          <w:color w:val="262626"/>
          <w:kern w:val="0"/>
          <w:sz w:val="32"/>
          <w:szCs w:val="32"/>
        </w:rPr>
        <w:t>部门有序开展绩效评价工作，在预算申报时合理确定绩效指标，涵盖各业务部门职责及工作要点，目标与职责任务匹配一致，</w:t>
      </w:r>
      <w:r>
        <w:rPr>
          <w:rFonts w:hint="default" w:ascii="Times New Roman" w:hAnsi="Times New Roman" w:eastAsia="仿宋_GB2312" w:cs="Times New Roman"/>
          <w:color w:val="262626"/>
          <w:kern w:val="0"/>
          <w:sz w:val="32"/>
          <w:szCs w:val="32"/>
          <w:lang w:eastAsia="zh-CN"/>
        </w:rPr>
        <w:t>初步建立绩效评价体系，</w:t>
      </w:r>
      <w:r>
        <w:rPr>
          <w:rFonts w:hint="default" w:ascii="Times New Roman" w:hAnsi="Times New Roman" w:eastAsia="仿宋_GB2312" w:cs="Times New Roman"/>
          <w:color w:val="262626"/>
          <w:kern w:val="0"/>
          <w:sz w:val="32"/>
          <w:szCs w:val="32"/>
        </w:rPr>
        <w:t>将绩效理念融入预算编制、执行、监督全过程。我部门202</w:t>
      </w:r>
      <w:r>
        <w:rPr>
          <w:rFonts w:hint="eastAsia" w:ascii="Times New Roman" w:hAnsi="Times New Roman" w:eastAsia="仿宋_GB2312" w:cs="Times New Roman"/>
          <w:color w:val="262626"/>
          <w:kern w:val="0"/>
          <w:sz w:val="32"/>
          <w:szCs w:val="32"/>
          <w:lang w:val="en-US" w:eastAsia="zh-CN"/>
        </w:rPr>
        <w:t>4</w:t>
      </w:r>
      <w:r>
        <w:rPr>
          <w:rFonts w:hint="default" w:ascii="Times New Roman" w:hAnsi="Times New Roman" w:eastAsia="仿宋_GB2312" w:cs="Times New Roman"/>
          <w:color w:val="262626"/>
          <w:kern w:val="0"/>
          <w:sz w:val="32"/>
          <w:szCs w:val="32"/>
        </w:rPr>
        <w:t>年整体绩效目标为：维持管理区域干净整洁，协助维护区域道路街面环境秩序，优化环境品质，持续提升CBD国际化形象；核心区管理区域范围安全，无重大安全责任事故，设备设施运行正常，周边秩序良好，应急处置及时，保障核心区建设顺利推进和市政能源供应安全；保障CBD功能区产业转型升级及楼宇经济管理系统稳定可靠，保障数据处理准确及时，持续提升楼宇特色经济，大力培育新业态新模式，提升CBD产业发展能级。</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rPr>
        <w:t>2024年全年预算数18201.228670万元（不含以前年度基建项目结转），其中，基本支出预算数4340.203546万元，项目支出预算数13861.025124万元，其他支出预算数0万元。资金总体支出18201.228670万元，其中，基本支出4340.203546万元，项目支出13861.025124万元，其他支出0万元。预算执行率为100%。</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480" w:firstLineChars="150"/>
        <w:textAlignment w:val="auto"/>
        <w:outlineLvl w:val="9"/>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我部门202</w:t>
      </w:r>
      <w:r>
        <w:rPr>
          <w:rFonts w:hint="eastAsia" w:ascii="Times New Roman" w:hAnsi="Times New Roman" w:eastAsia="仿宋_GB2312" w:cs="Times New Roman"/>
          <w:color w:val="000000"/>
          <w:kern w:val="0"/>
          <w:sz w:val="32"/>
          <w:szCs w:val="32"/>
          <w:highlight w:val="none"/>
          <w:lang w:val="en-US" w:eastAsia="zh-CN"/>
        </w:rPr>
        <w:t>4</w:t>
      </w:r>
      <w:r>
        <w:rPr>
          <w:rFonts w:hint="default" w:ascii="Times New Roman" w:hAnsi="Times New Roman" w:eastAsia="仿宋_GB2312" w:cs="Times New Roman"/>
          <w:color w:val="000000"/>
          <w:kern w:val="0"/>
          <w:sz w:val="32"/>
          <w:szCs w:val="32"/>
          <w:highlight w:val="none"/>
        </w:rPr>
        <w:t>年各项重点工作稳步推进，成效显著，按规定达成绩效目标，与批复的部门整体支出绩效目标相比，全方面提高了区域治理和管理能力。</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具体实现指标如下：</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480" w:firstLineChars="150"/>
        <w:textAlignment w:val="auto"/>
        <w:outlineLvl w:val="9"/>
        <w:rPr>
          <w:rFonts w:hint="default" w:ascii="楷体_GB2312" w:eastAsia="楷体_GB2312"/>
          <w:sz w:val="32"/>
          <w:szCs w:val="32"/>
          <w:highlight w:val="none"/>
        </w:rPr>
      </w:pPr>
      <w:r>
        <w:rPr>
          <w:rFonts w:hint="default" w:ascii="楷体_GB2312" w:eastAsia="楷体_GB2312"/>
          <w:sz w:val="32"/>
          <w:szCs w:val="32"/>
          <w:highlight w:val="none"/>
        </w:rPr>
        <w:t>（一）产出完成情况分析</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1.产出数量</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lang w:val="en-US" w:eastAsia="zh-CN"/>
        </w:rPr>
      </w:pPr>
      <w:r>
        <w:rPr>
          <w:rFonts w:hint="default" w:ascii="Times New Roman" w:hAnsi="Times New Roman" w:eastAsia="仿宋_GB2312" w:cs="Times New Roman"/>
          <w:color w:val="000000"/>
          <w:kern w:val="0"/>
          <w:sz w:val="32"/>
          <w:szCs w:val="32"/>
          <w:highlight w:val="none"/>
        </w:rPr>
        <w:t>环境综合管理服务面积</w:t>
      </w:r>
      <w:r>
        <w:rPr>
          <w:rFonts w:hint="default" w:ascii="Times New Roman" w:hAnsi="Times New Roman" w:eastAsia="仿宋_GB2312" w:cs="Times New Roman"/>
          <w:color w:val="000000"/>
          <w:kern w:val="0"/>
          <w:sz w:val="32"/>
          <w:szCs w:val="32"/>
          <w:highlight w:val="none"/>
          <w:lang w:eastAsia="zh-CN"/>
        </w:rPr>
        <w:t>为</w:t>
      </w:r>
      <w:r>
        <w:rPr>
          <w:rFonts w:hint="default" w:ascii="Times New Roman" w:hAnsi="Times New Roman" w:eastAsia="仿宋_GB2312" w:cs="Times New Roman"/>
          <w:color w:val="000000"/>
          <w:kern w:val="0"/>
          <w:sz w:val="32"/>
          <w:szCs w:val="32"/>
          <w:highlight w:val="none"/>
        </w:rPr>
        <w:t>309259.97平方米（年度指标值</w:t>
      </w:r>
      <w:r>
        <w:rPr>
          <w:rFonts w:hint="eastAsia"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rPr>
        <w:t>309259.97平方米）；</w:t>
      </w:r>
      <w:r>
        <w:rPr>
          <w:rFonts w:hint="default" w:ascii="Times New Roman" w:hAnsi="Times New Roman" w:eastAsia="仿宋_GB2312" w:cs="Times New Roman"/>
          <w:color w:val="000000"/>
          <w:kern w:val="0"/>
          <w:sz w:val="32"/>
          <w:szCs w:val="32"/>
          <w:highlight w:val="none"/>
          <w:lang w:eastAsia="zh-CN"/>
        </w:rPr>
        <w:t>工程现场运行保障</w:t>
      </w:r>
      <w:r>
        <w:rPr>
          <w:rFonts w:hint="eastAsia" w:eastAsia="仿宋_GB2312" w:cs="Times New Roman"/>
          <w:color w:val="000000"/>
          <w:kern w:val="0"/>
          <w:sz w:val="32"/>
          <w:szCs w:val="32"/>
          <w:highlight w:val="none"/>
          <w:lang w:eastAsia="zh-CN"/>
        </w:rPr>
        <w:t>管理面积为</w:t>
      </w:r>
      <w:r>
        <w:rPr>
          <w:rFonts w:hint="eastAsia" w:eastAsia="仿宋_GB2312" w:cs="Times New Roman"/>
          <w:color w:val="000000"/>
          <w:kern w:val="0"/>
          <w:sz w:val="32"/>
          <w:szCs w:val="32"/>
          <w:highlight w:val="none"/>
          <w:lang w:val="en-US" w:eastAsia="zh-CN"/>
        </w:rPr>
        <w:t>66186平方米</w:t>
      </w:r>
      <w:r>
        <w:rPr>
          <w:rFonts w:hint="default" w:ascii="Times New Roman" w:hAnsi="Times New Roman" w:eastAsia="仿宋_GB2312" w:cs="Times New Roman"/>
          <w:color w:val="000000"/>
          <w:kern w:val="0"/>
          <w:sz w:val="32"/>
          <w:szCs w:val="32"/>
          <w:highlight w:val="none"/>
        </w:rPr>
        <w:t>（年度指标值</w:t>
      </w:r>
      <w:r>
        <w:rPr>
          <w:rFonts w:hint="eastAsia" w:eastAsia="仿宋_GB2312" w:cs="Times New Roman"/>
          <w:color w:val="000000"/>
          <w:kern w:val="0"/>
          <w:sz w:val="32"/>
          <w:szCs w:val="32"/>
          <w:highlight w:val="none"/>
          <w:lang w:eastAsia="zh-CN"/>
        </w:rPr>
        <w:t>≥</w:t>
      </w:r>
      <w:r>
        <w:rPr>
          <w:rFonts w:hint="eastAsia" w:eastAsia="仿宋_GB2312" w:cs="Times New Roman"/>
          <w:color w:val="000000"/>
          <w:kern w:val="0"/>
          <w:sz w:val="32"/>
          <w:szCs w:val="32"/>
          <w:highlight w:val="none"/>
          <w:lang w:val="en-US" w:eastAsia="zh-CN"/>
        </w:rPr>
        <w:t>66186平方米</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rPr>
        <w:t>信息系统维护服务每个月出具CBD功能区经济运行情况简报</w:t>
      </w:r>
      <w:r>
        <w:rPr>
          <w:rFonts w:hint="default" w:ascii="Times New Roman" w:hAnsi="Times New Roman" w:eastAsia="仿宋_GB2312" w:cs="Times New Roman"/>
          <w:color w:val="000000"/>
          <w:kern w:val="0"/>
          <w:sz w:val="32"/>
          <w:szCs w:val="32"/>
          <w:highlight w:val="none"/>
          <w:lang w:eastAsia="zh-CN"/>
        </w:rPr>
        <w:t>为</w:t>
      </w:r>
      <w:r>
        <w:rPr>
          <w:rFonts w:hint="eastAsia" w:eastAsia="仿宋_GB2312" w:cs="Times New Roman"/>
          <w:color w:val="000000"/>
          <w:kern w:val="0"/>
          <w:sz w:val="32"/>
          <w:szCs w:val="32"/>
          <w:highlight w:val="none"/>
          <w:lang w:val="en-US" w:eastAsia="zh-CN"/>
        </w:rPr>
        <w:t>1份</w:t>
      </w:r>
      <w:r>
        <w:rPr>
          <w:rFonts w:hint="default" w:ascii="Times New Roman" w:hAnsi="Times New Roman" w:eastAsia="仿宋_GB2312" w:cs="Times New Roman"/>
          <w:color w:val="000000"/>
          <w:kern w:val="0"/>
          <w:sz w:val="32"/>
          <w:szCs w:val="32"/>
          <w:highlight w:val="none"/>
        </w:rPr>
        <w:t>（年度指标值≥</w:t>
      </w:r>
      <w:r>
        <w:rPr>
          <w:rFonts w:hint="eastAsia" w:eastAsia="仿宋_GB2312" w:cs="Times New Roman"/>
          <w:color w:val="000000"/>
          <w:kern w:val="0"/>
          <w:sz w:val="32"/>
          <w:szCs w:val="32"/>
          <w:highlight w:val="none"/>
          <w:lang w:val="en-US" w:eastAsia="zh-CN"/>
        </w:rPr>
        <w:t>1份</w:t>
      </w:r>
      <w:r>
        <w:rPr>
          <w:rFonts w:hint="default" w:ascii="Times New Roman" w:hAnsi="Times New Roman" w:eastAsia="仿宋_GB2312" w:cs="Times New Roman"/>
          <w:color w:val="000000"/>
          <w:kern w:val="0"/>
          <w:sz w:val="32"/>
          <w:szCs w:val="32"/>
          <w:highlight w:val="none"/>
        </w:rPr>
        <w:t>）</w:t>
      </w:r>
      <w:r>
        <w:rPr>
          <w:rFonts w:hint="eastAsia" w:eastAsia="仿宋_GB2312" w:cs="Times New Roman"/>
          <w:color w:val="000000"/>
          <w:kern w:val="0"/>
          <w:sz w:val="32"/>
          <w:szCs w:val="32"/>
          <w:highlight w:val="none"/>
          <w:lang w:eastAsia="zh-CN"/>
        </w:rPr>
        <w:t>。均</w:t>
      </w:r>
      <w:r>
        <w:rPr>
          <w:rFonts w:hint="default" w:ascii="Times New Roman" w:hAnsi="Times New Roman" w:eastAsia="仿宋_GB2312" w:cs="Times New Roman"/>
          <w:color w:val="000000"/>
          <w:kern w:val="0"/>
          <w:sz w:val="32"/>
          <w:szCs w:val="32"/>
          <w:highlight w:val="none"/>
        </w:rPr>
        <w:t>达到年度指标值。</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2.产出质量</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环境综合管理</w:t>
      </w:r>
      <w:r>
        <w:rPr>
          <w:rFonts w:hint="default" w:ascii="Times New Roman" w:hAnsi="Times New Roman" w:eastAsia="仿宋_GB2312" w:cs="Times New Roman"/>
          <w:color w:val="000000"/>
          <w:kern w:val="0"/>
          <w:sz w:val="32"/>
          <w:szCs w:val="32"/>
          <w:highlight w:val="none"/>
          <w:lang w:eastAsia="zh-CN"/>
        </w:rPr>
        <w:t>中</w:t>
      </w:r>
      <w:r>
        <w:rPr>
          <w:rFonts w:hint="default" w:ascii="Times New Roman" w:hAnsi="Times New Roman" w:eastAsia="仿宋_GB2312" w:cs="Times New Roman"/>
          <w:color w:val="000000"/>
          <w:kern w:val="0"/>
          <w:sz w:val="32"/>
          <w:szCs w:val="32"/>
          <w:highlight w:val="none"/>
        </w:rPr>
        <w:t>清扫保洁质量检查合格率</w:t>
      </w:r>
      <w:r>
        <w:rPr>
          <w:rFonts w:hint="default" w:ascii="Times New Roman" w:hAnsi="Times New Roman" w:eastAsia="仿宋_GB2312" w:cs="Times New Roman"/>
          <w:color w:val="000000"/>
          <w:kern w:val="0"/>
          <w:sz w:val="32"/>
          <w:szCs w:val="32"/>
          <w:highlight w:val="none"/>
          <w:lang w:eastAsia="zh-CN"/>
        </w:rPr>
        <w:t>为</w:t>
      </w:r>
      <w:r>
        <w:rPr>
          <w:rFonts w:hint="default" w:ascii="Times New Roman" w:hAnsi="Times New Roman" w:eastAsia="仿宋_GB2312" w:cs="Times New Roman"/>
          <w:color w:val="000000"/>
          <w:kern w:val="0"/>
          <w:sz w:val="32"/>
          <w:szCs w:val="32"/>
          <w:highlight w:val="none"/>
        </w:rPr>
        <w:t>100%（年度指标值≥9</w:t>
      </w:r>
      <w:r>
        <w:rPr>
          <w:rFonts w:hint="default" w:ascii="Times New Roman" w:hAnsi="Times New Roman" w:eastAsia="仿宋_GB2312" w:cs="Times New Roman"/>
          <w:color w:val="000000"/>
          <w:kern w:val="0"/>
          <w:sz w:val="32"/>
          <w:szCs w:val="32"/>
          <w:highlight w:val="none"/>
          <w:lang w:val="en-US" w:eastAsia="zh-CN"/>
        </w:rPr>
        <w:t>0</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工程现场运行保障中设备</w:t>
      </w:r>
      <w:r>
        <w:rPr>
          <w:rFonts w:hint="default" w:ascii="Times New Roman" w:hAnsi="Times New Roman" w:eastAsia="仿宋_GB2312" w:cs="Times New Roman"/>
          <w:color w:val="000000"/>
          <w:kern w:val="0"/>
          <w:sz w:val="32"/>
          <w:szCs w:val="32"/>
          <w:highlight w:val="none"/>
          <w:lang w:eastAsia="zh-CN"/>
        </w:rPr>
        <w:t>设施</w:t>
      </w:r>
      <w:r>
        <w:rPr>
          <w:rFonts w:hint="default" w:ascii="Times New Roman" w:hAnsi="Times New Roman" w:eastAsia="仿宋_GB2312" w:cs="Times New Roman"/>
          <w:color w:val="000000"/>
          <w:kern w:val="0"/>
          <w:sz w:val="32"/>
          <w:szCs w:val="32"/>
          <w:highlight w:val="none"/>
        </w:rPr>
        <w:t>运行完好率</w:t>
      </w:r>
      <w:r>
        <w:rPr>
          <w:rFonts w:hint="default" w:ascii="Times New Roman" w:hAnsi="Times New Roman" w:eastAsia="仿宋_GB2312" w:cs="Times New Roman"/>
          <w:color w:val="000000"/>
          <w:kern w:val="0"/>
          <w:sz w:val="32"/>
          <w:szCs w:val="32"/>
          <w:highlight w:val="none"/>
          <w:lang w:eastAsia="zh-CN"/>
        </w:rPr>
        <w:t>为</w:t>
      </w:r>
      <w:r>
        <w:rPr>
          <w:rFonts w:hint="default" w:ascii="Times New Roman" w:hAnsi="Times New Roman" w:eastAsia="仿宋_GB2312" w:cs="Times New Roman"/>
          <w:color w:val="000000"/>
          <w:kern w:val="0"/>
          <w:sz w:val="32"/>
          <w:szCs w:val="32"/>
          <w:highlight w:val="none"/>
        </w:rPr>
        <w:t>100%（年度指标值≥98%）；信息系统维护服务</w:t>
      </w:r>
      <w:r>
        <w:rPr>
          <w:rFonts w:hint="default" w:ascii="Times New Roman" w:hAnsi="Times New Roman" w:eastAsia="仿宋_GB2312" w:cs="Times New Roman"/>
          <w:color w:val="000000"/>
          <w:kern w:val="0"/>
          <w:sz w:val="32"/>
          <w:szCs w:val="32"/>
          <w:highlight w:val="none"/>
          <w:lang w:eastAsia="zh-CN"/>
        </w:rPr>
        <w:t>中确保平台运行稳定</w:t>
      </w:r>
      <w:r>
        <w:rPr>
          <w:rFonts w:hint="eastAsia" w:eastAsia="仿宋_GB2312" w:cs="Times New Roman"/>
          <w:color w:val="000000"/>
          <w:kern w:val="0"/>
          <w:sz w:val="32"/>
          <w:szCs w:val="32"/>
          <w:highlight w:val="none"/>
          <w:lang w:eastAsia="zh-CN"/>
        </w:rPr>
        <w:t>评级</w:t>
      </w:r>
      <w:r>
        <w:rPr>
          <w:rFonts w:hint="default" w:ascii="Times New Roman" w:hAnsi="Times New Roman" w:eastAsia="仿宋_GB2312" w:cs="Times New Roman"/>
          <w:color w:val="000000"/>
          <w:kern w:val="0"/>
          <w:sz w:val="32"/>
          <w:szCs w:val="32"/>
          <w:highlight w:val="none"/>
          <w:lang w:eastAsia="zh-CN"/>
        </w:rPr>
        <w:t>为</w:t>
      </w:r>
      <w:r>
        <w:rPr>
          <w:rFonts w:hint="eastAsia" w:eastAsia="仿宋_GB2312" w:cs="Times New Roman"/>
          <w:color w:val="000000"/>
          <w:kern w:val="0"/>
          <w:sz w:val="32"/>
          <w:szCs w:val="32"/>
          <w:highlight w:val="none"/>
          <w:lang w:val="en-US" w:eastAsia="zh-CN"/>
        </w:rPr>
        <w:t>优</w:t>
      </w:r>
      <w:r>
        <w:rPr>
          <w:rFonts w:hint="default" w:ascii="Times New Roman" w:hAnsi="Times New Roman" w:eastAsia="仿宋_GB2312" w:cs="Times New Roman"/>
          <w:color w:val="000000"/>
          <w:kern w:val="0"/>
          <w:sz w:val="32"/>
          <w:szCs w:val="32"/>
          <w:highlight w:val="none"/>
        </w:rPr>
        <w:t>（年度指标值</w:t>
      </w:r>
      <w:r>
        <w:rPr>
          <w:rFonts w:hint="eastAsia" w:eastAsia="仿宋_GB2312" w:cs="Times New Roman"/>
          <w:color w:val="000000"/>
          <w:kern w:val="0"/>
          <w:sz w:val="32"/>
          <w:szCs w:val="32"/>
          <w:highlight w:val="none"/>
          <w:lang w:eastAsia="zh-CN"/>
        </w:rPr>
        <w:t>为定性评价优良中低差</w:t>
      </w:r>
      <w:r>
        <w:rPr>
          <w:rFonts w:hint="default" w:ascii="Times New Roman" w:hAnsi="Times New Roman" w:eastAsia="仿宋_GB2312" w:cs="Times New Roman"/>
          <w:color w:val="000000"/>
          <w:kern w:val="0"/>
          <w:sz w:val="32"/>
          <w:szCs w:val="32"/>
          <w:highlight w:val="none"/>
        </w:rPr>
        <w:t>）。均达到年度指标值。</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3.产出进度</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环境综合管理</w:t>
      </w:r>
      <w:r>
        <w:rPr>
          <w:rFonts w:hint="default" w:ascii="Times New Roman" w:hAnsi="Times New Roman" w:eastAsia="仿宋_GB2312" w:cs="Times New Roman"/>
          <w:color w:val="000000"/>
          <w:kern w:val="0"/>
          <w:sz w:val="32"/>
          <w:szCs w:val="32"/>
          <w:highlight w:val="none"/>
          <w:lang w:eastAsia="zh-CN"/>
        </w:rPr>
        <w:t>全年考核频次为</w:t>
      </w:r>
      <w:r>
        <w:rPr>
          <w:rFonts w:hint="default" w:ascii="Times New Roman" w:hAnsi="Times New Roman" w:eastAsia="仿宋_GB2312" w:cs="Times New Roman"/>
          <w:color w:val="000000"/>
          <w:kern w:val="0"/>
          <w:sz w:val="32"/>
          <w:szCs w:val="32"/>
          <w:highlight w:val="none"/>
          <w:lang w:val="en-US" w:eastAsia="zh-CN"/>
        </w:rPr>
        <w:t>12次</w:t>
      </w:r>
      <w:r>
        <w:rPr>
          <w:rFonts w:hint="default" w:ascii="Times New Roman" w:hAnsi="Times New Roman" w:eastAsia="仿宋_GB2312" w:cs="Times New Roman"/>
          <w:color w:val="000000"/>
          <w:kern w:val="0"/>
          <w:sz w:val="32"/>
          <w:szCs w:val="32"/>
          <w:highlight w:val="none"/>
        </w:rPr>
        <w:t>（年度指标值</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lang w:val="en-US" w:eastAsia="zh-CN"/>
        </w:rPr>
        <w:t>12次</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工程现场运行保障中</w:t>
      </w:r>
      <w:r>
        <w:rPr>
          <w:rFonts w:hint="default" w:ascii="Times New Roman" w:hAnsi="Times New Roman" w:eastAsia="仿宋_GB2312" w:cs="Times New Roman"/>
          <w:color w:val="000000"/>
          <w:kern w:val="0"/>
          <w:sz w:val="32"/>
          <w:szCs w:val="32"/>
          <w:highlight w:val="none"/>
          <w:lang w:eastAsia="zh-CN"/>
        </w:rPr>
        <w:t>服务时间为</w:t>
      </w:r>
      <w:r>
        <w:rPr>
          <w:rFonts w:hint="eastAsia" w:eastAsia="仿宋_GB2312" w:cs="Times New Roman"/>
          <w:color w:val="000000"/>
          <w:kern w:val="0"/>
          <w:sz w:val="32"/>
          <w:szCs w:val="32"/>
          <w:highlight w:val="none"/>
          <w:lang w:val="en-US" w:eastAsia="zh-CN"/>
        </w:rPr>
        <w:t>1年</w:t>
      </w:r>
      <w:r>
        <w:rPr>
          <w:rFonts w:hint="default" w:ascii="Times New Roman" w:hAnsi="Times New Roman" w:eastAsia="仿宋_GB2312" w:cs="Times New Roman"/>
          <w:color w:val="000000"/>
          <w:kern w:val="0"/>
          <w:sz w:val="32"/>
          <w:szCs w:val="32"/>
          <w:highlight w:val="none"/>
        </w:rPr>
        <w:t>（年度指标值</w:t>
      </w:r>
      <w:r>
        <w:rPr>
          <w:rFonts w:hint="default" w:ascii="Times New Roman" w:hAnsi="Times New Roman" w:eastAsia="仿宋_GB2312" w:cs="Times New Roman"/>
          <w:color w:val="000000"/>
          <w:kern w:val="0"/>
          <w:sz w:val="32"/>
          <w:szCs w:val="32"/>
          <w:highlight w:val="none"/>
          <w:lang w:eastAsia="zh-CN"/>
        </w:rPr>
        <w:t>＝</w:t>
      </w:r>
      <w:r>
        <w:rPr>
          <w:rFonts w:hint="eastAsia" w:eastAsia="仿宋_GB2312" w:cs="Times New Roman"/>
          <w:color w:val="000000"/>
          <w:kern w:val="0"/>
          <w:sz w:val="32"/>
          <w:szCs w:val="32"/>
          <w:highlight w:val="none"/>
          <w:lang w:val="en-US" w:eastAsia="zh-CN"/>
        </w:rPr>
        <w:t>1年</w:t>
      </w:r>
      <w:r>
        <w:rPr>
          <w:rFonts w:hint="default" w:ascii="Times New Roman" w:hAnsi="Times New Roman" w:eastAsia="仿宋_GB2312" w:cs="Times New Roman"/>
          <w:color w:val="000000"/>
          <w:kern w:val="0"/>
          <w:sz w:val="32"/>
          <w:szCs w:val="32"/>
          <w:highlight w:val="none"/>
        </w:rPr>
        <w:t>）；信息系统维护服务</w:t>
      </w:r>
      <w:r>
        <w:rPr>
          <w:rFonts w:hint="default" w:ascii="Times New Roman" w:hAnsi="Times New Roman" w:eastAsia="仿宋_GB2312" w:cs="Times New Roman"/>
          <w:color w:val="000000"/>
          <w:kern w:val="0"/>
          <w:sz w:val="32"/>
          <w:szCs w:val="32"/>
          <w:highlight w:val="none"/>
          <w:lang w:eastAsia="zh-CN"/>
        </w:rPr>
        <w:t>中每月在取得数据之后完成数据处理并开放系统数据的时间为</w:t>
      </w:r>
      <w:r>
        <w:rPr>
          <w:rFonts w:hint="eastAsia" w:eastAsia="仿宋_GB2312" w:cs="Times New Roman"/>
          <w:color w:val="000000"/>
          <w:kern w:val="0"/>
          <w:sz w:val="32"/>
          <w:szCs w:val="32"/>
          <w:highlight w:val="none"/>
          <w:lang w:val="en-US" w:eastAsia="zh-CN"/>
        </w:rPr>
        <w:t>5天</w:t>
      </w:r>
      <w:r>
        <w:rPr>
          <w:rFonts w:hint="default" w:ascii="Times New Roman" w:hAnsi="Times New Roman" w:eastAsia="仿宋_GB2312" w:cs="Times New Roman"/>
          <w:color w:val="000000"/>
          <w:kern w:val="0"/>
          <w:sz w:val="32"/>
          <w:szCs w:val="32"/>
          <w:highlight w:val="none"/>
        </w:rPr>
        <w:t>（年度指标值</w:t>
      </w:r>
      <w:r>
        <w:rPr>
          <w:rFonts w:hint="eastAsia" w:eastAsia="仿宋_GB2312" w:cs="Times New Roman"/>
          <w:color w:val="000000"/>
          <w:kern w:val="0"/>
          <w:sz w:val="32"/>
          <w:szCs w:val="32"/>
          <w:highlight w:val="none"/>
          <w:lang w:eastAsia="zh-CN"/>
        </w:rPr>
        <w:t>≤</w:t>
      </w:r>
      <w:r>
        <w:rPr>
          <w:rFonts w:hint="eastAsia" w:eastAsia="仿宋_GB2312" w:cs="Times New Roman"/>
          <w:color w:val="000000"/>
          <w:kern w:val="0"/>
          <w:sz w:val="32"/>
          <w:szCs w:val="32"/>
          <w:highlight w:val="none"/>
          <w:lang w:val="en-US" w:eastAsia="zh-CN"/>
        </w:rPr>
        <w:t>7天</w:t>
      </w:r>
      <w:r>
        <w:rPr>
          <w:rFonts w:hint="default" w:ascii="Times New Roman" w:hAnsi="Times New Roman" w:eastAsia="仿宋_GB2312" w:cs="Times New Roman"/>
          <w:color w:val="000000"/>
          <w:kern w:val="0"/>
          <w:sz w:val="32"/>
          <w:szCs w:val="32"/>
          <w:highlight w:val="none"/>
        </w:rPr>
        <w:t>）。均达到年度指标值。</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4.产出成本</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环境综合管理</w:t>
      </w:r>
      <w:r>
        <w:rPr>
          <w:rFonts w:hint="default" w:ascii="Times New Roman" w:hAnsi="Times New Roman" w:eastAsia="仿宋_GB2312" w:cs="Times New Roman"/>
          <w:color w:val="000000"/>
          <w:kern w:val="0"/>
          <w:sz w:val="32"/>
          <w:szCs w:val="32"/>
          <w:highlight w:val="none"/>
          <w:lang w:eastAsia="zh-CN"/>
        </w:rPr>
        <w:t>中</w:t>
      </w:r>
      <w:r>
        <w:rPr>
          <w:rFonts w:hint="default" w:ascii="Times New Roman" w:hAnsi="Times New Roman" w:eastAsia="仿宋_GB2312" w:cs="Times New Roman"/>
          <w:color w:val="000000"/>
          <w:kern w:val="0"/>
          <w:sz w:val="32"/>
          <w:szCs w:val="32"/>
          <w:highlight w:val="none"/>
        </w:rPr>
        <w:t>单位面积成本19.</w:t>
      </w:r>
      <w:r>
        <w:rPr>
          <w:rFonts w:hint="eastAsia" w:eastAsia="仿宋_GB2312" w:cs="Times New Roman"/>
          <w:color w:val="000000"/>
          <w:kern w:val="0"/>
          <w:sz w:val="32"/>
          <w:szCs w:val="32"/>
          <w:highlight w:val="none"/>
          <w:lang w:val="en-US" w:eastAsia="zh-CN"/>
        </w:rPr>
        <w:t>5</w:t>
      </w:r>
      <w:r>
        <w:rPr>
          <w:rFonts w:hint="default" w:ascii="Times New Roman" w:hAnsi="Times New Roman" w:eastAsia="仿宋_GB2312" w:cs="Times New Roman"/>
          <w:color w:val="000000"/>
          <w:kern w:val="0"/>
          <w:sz w:val="32"/>
          <w:szCs w:val="32"/>
          <w:highlight w:val="none"/>
        </w:rPr>
        <w:t>元/平方米（年度指标值≤</w:t>
      </w:r>
      <w:r>
        <w:rPr>
          <w:rFonts w:hint="eastAsia" w:eastAsia="仿宋_GB2312" w:cs="Times New Roman"/>
          <w:color w:val="000000"/>
          <w:kern w:val="0"/>
          <w:sz w:val="32"/>
          <w:szCs w:val="32"/>
          <w:highlight w:val="none"/>
          <w:lang w:val="en-US" w:eastAsia="zh-CN"/>
        </w:rPr>
        <w:t>2</w:t>
      </w:r>
      <w:r>
        <w:rPr>
          <w:rFonts w:hint="default" w:ascii="Times New Roman" w:hAnsi="Times New Roman" w:eastAsia="仿宋_GB2312" w:cs="Times New Roman"/>
          <w:color w:val="000000"/>
          <w:kern w:val="0"/>
          <w:sz w:val="32"/>
          <w:szCs w:val="32"/>
          <w:highlight w:val="none"/>
        </w:rPr>
        <w:t>0元/平方米）</w:t>
      </w:r>
      <w:r>
        <w:rPr>
          <w:rFonts w:hint="eastAsia"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达到年度指标值</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工程现场运行保障</w:t>
      </w:r>
      <w:r>
        <w:rPr>
          <w:rFonts w:hint="default" w:ascii="Times New Roman" w:hAnsi="Times New Roman" w:eastAsia="仿宋_GB2312" w:cs="Times New Roman"/>
          <w:color w:val="000000"/>
          <w:kern w:val="0"/>
          <w:sz w:val="32"/>
          <w:szCs w:val="32"/>
          <w:highlight w:val="none"/>
          <w:lang w:eastAsia="zh-CN"/>
        </w:rPr>
        <w:t>中</w:t>
      </w:r>
      <w:r>
        <w:rPr>
          <w:rFonts w:hint="default" w:ascii="Times New Roman" w:hAnsi="Times New Roman" w:eastAsia="仿宋_GB2312" w:cs="Times New Roman"/>
          <w:color w:val="000000"/>
          <w:kern w:val="0"/>
          <w:sz w:val="32"/>
          <w:szCs w:val="32"/>
          <w:highlight w:val="none"/>
        </w:rPr>
        <w:t>每</w:t>
      </w:r>
      <w:r>
        <w:rPr>
          <w:rFonts w:hint="default" w:ascii="Times New Roman" w:hAnsi="Times New Roman" w:eastAsia="仿宋_GB2312" w:cs="Times New Roman"/>
          <w:color w:val="000000"/>
          <w:kern w:val="0"/>
          <w:sz w:val="32"/>
          <w:szCs w:val="32"/>
          <w:highlight w:val="none"/>
          <w:lang w:eastAsia="zh-CN"/>
        </w:rPr>
        <w:t>平方</w:t>
      </w:r>
      <w:r>
        <w:rPr>
          <w:rFonts w:hint="default" w:ascii="Times New Roman" w:hAnsi="Times New Roman" w:eastAsia="仿宋_GB2312" w:cs="Times New Roman"/>
          <w:color w:val="000000"/>
          <w:kern w:val="0"/>
          <w:sz w:val="32"/>
          <w:szCs w:val="32"/>
          <w:highlight w:val="none"/>
        </w:rPr>
        <w:t>地均成本</w:t>
      </w:r>
      <w:r>
        <w:rPr>
          <w:rFonts w:hint="eastAsia" w:eastAsia="仿宋_GB2312" w:cs="Times New Roman"/>
          <w:color w:val="000000"/>
          <w:kern w:val="0"/>
          <w:sz w:val="32"/>
          <w:szCs w:val="32"/>
          <w:highlight w:val="none"/>
          <w:lang w:val="en-US" w:eastAsia="zh-CN"/>
        </w:rPr>
        <w:t>9.99</w:t>
      </w:r>
      <w:r>
        <w:rPr>
          <w:rFonts w:hint="default" w:ascii="Times New Roman" w:hAnsi="Times New Roman" w:eastAsia="仿宋_GB2312" w:cs="Times New Roman"/>
          <w:color w:val="000000"/>
          <w:kern w:val="0"/>
          <w:sz w:val="32"/>
          <w:szCs w:val="32"/>
          <w:highlight w:val="none"/>
        </w:rPr>
        <w:t>元/</w:t>
      </w:r>
      <w:r>
        <w:rPr>
          <w:rFonts w:hint="default" w:ascii="Times New Roman" w:hAnsi="Times New Roman" w:eastAsia="仿宋_GB2312" w:cs="Times New Roman"/>
          <w:color w:val="000000"/>
          <w:kern w:val="0"/>
          <w:sz w:val="32"/>
          <w:szCs w:val="32"/>
          <w:highlight w:val="none"/>
          <w:lang w:eastAsia="zh-CN"/>
        </w:rPr>
        <w:t>月</w:t>
      </w:r>
      <w:r>
        <w:rPr>
          <w:rFonts w:hint="default" w:ascii="Times New Roman" w:hAnsi="Times New Roman" w:eastAsia="仿宋_GB2312" w:cs="Times New Roman"/>
          <w:color w:val="000000"/>
          <w:kern w:val="0"/>
          <w:sz w:val="32"/>
          <w:szCs w:val="32"/>
          <w:highlight w:val="none"/>
        </w:rPr>
        <w:t>（年度指标值≤11</w:t>
      </w:r>
      <w:r>
        <w:rPr>
          <w:rFonts w:hint="eastAsia" w:eastAsia="仿宋_GB2312" w:cs="Times New Roman"/>
          <w:color w:val="000000"/>
          <w:kern w:val="0"/>
          <w:sz w:val="32"/>
          <w:szCs w:val="32"/>
          <w:highlight w:val="none"/>
          <w:lang w:val="en-US" w:eastAsia="zh-CN"/>
        </w:rPr>
        <w:t>.1</w:t>
      </w:r>
      <w:r>
        <w:rPr>
          <w:rFonts w:hint="default" w:ascii="Times New Roman" w:hAnsi="Times New Roman" w:eastAsia="仿宋_GB2312" w:cs="Times New Roman"/>
          <w:color w:val="000000"/>
          <w:kern w:val="0"/>
          <w:sz w:val="32"/>
          <w:szCs w:val="32"/>
          <w:highlight w:val="none"/>
        </w:rPr>
        <w:t>元/</w:t>
      </w:r>
      <w:r>
        <w:rPr>
          <w:rFonts w:hint="default" w:ascii="Times New Roman" w:hAnsi="Times New Roman" w:eastAsia="仿宋_GB2312" w:cs="Times New Roman"/>
          <w:color w:val="000000"/>
          <w:kern w:val="0"/>
          <w:sz w:val="32"/>
          <w:szCs w:val="32"/>
          <w:highlight w:val="none"/>
          <w:lang w:eastAsia="zh-CN"/>
        </w:rPr>
        <w:t>月</w:t>
      </w:r>
      <w:r>
        <w:rPr>
          <w:rFonts w:hint="default" w:ascii="Times New Roman" w:hAnsi="Times New Roman" w:eastAsia="仿宋_GB2312" w:cs="Times New Roman"/>
          <w:color w:val="000000"/>
          <w:kern w:val="0"/>
          <w:sz w:val="32"/>
          <w:szCs w:val="32"/>
          <w:highlight w:val="none"/>
        </w:rPr>
        <w:t>）</w:t>
      </w:r>
      <w:r>
        <w:rPr>
          <w:rFonts w:hint="eastAsia"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达到年度指标值；信息系统维护服务</w:t>
      </w:r>
      <w:r>
        <w:rPr>
          <w:rFonts w:hint="default" w:ascii="Times New Roman" w:hAnsi="Times New Roman" w:eastAsia="仿宋_GB2312" w:cs="Times New Roman"/>
          <w:color w:val="000000"/>
          <w:kern w:val="0"/>
          <w:sz w:val="32"/>
          <w:szCs w:val="32"/>
          <w:highlight w:val="none"/>
          <w:lang w:eastAsia="zh-CN"/>
        </w:rPr>
        <w:t>中本年实际成本为</w:t>
      </w:r>
      <w:r>
        <w:rPr>
          <w:rFonts w:hint="default" w:ascii="Times New Roman" w:hAnsi="Times New Roman" w:eastAsia="仿宋_GB2312" w:cs="Times New Roman"/>
          <w:color w:val="000000"/>
          <w:kern w:val="0"/>
          <w:sz w:val="32"/>
          <w:szCs w:val="32"/>
          <w:highlight w:val="none"/>
          <w:lang w:val="en-US" w:eastAsia="zh-CN"/>
        </w:rPr>
        <w:t>39.5万元</w:t>
      </w:r>
      <w:r>
        <w:rPr>
          <w:rFonts w:hint="default" w:ascii="Times New Roman" w:hAnsi="Times New Roman" w:eastAsia="仿宋_GB2312" w:cs="Times New Roman"/>
          <w:color w:val="000000"/>
          <w:kern w:val="0"/>
          <w:sz w:val="32"/>
          <w:szCs w:val="32"/>
          <w:highlight w:val="none"/>
        </w:rPr>
        <w:t>（年度指标值≤</w:t>
      </w:r>
      <w:r>
        <w:rPr>
          <w:rFonts w:hint="eastAsia" w:eastAsia="仿宋_GB2312" w:cs="Times New Roman"/>
          <w:color w:val="000000"/>
          <w:kern w:val="0"/>
          <w:sz w:val="32"/>
          <w:szCs w:val="32"/>
          <w:highlight w:val="none"/>
          <w:lang w:val="en-US" w:eastAsia="zh-CN"/>
        </w:rPr>
        <w:t>37.5万元</w:t>
      </w:r>
      <w:r>
        <w:rPr>
          <w:rFonts w:hint="default" w:ascii="Times New Roman" w:hAnsi="Times New Roman" w:eastAsia="仿宋_GB2312" w:cs="Times New Roman"/>
          <w:color w:val="000000"/>
          <w:kern w:val="0"/>
          <w:sz w:val="32"/>
          <w:szCs w:val="32"/>
          <w:highlight w:val="none"/>
        </w:rPr>
        <w:t>）</w:t>
      </w:r>
      <w:r>
        <w:rPr>
          <w:rFonts w:hint="eastAsia" w:eastAsia="仿宋_GB2312" w:cs="Times New Roman"/>
          <w:color w:val="000000"/>
          <w:kern w:val="0"/>
          <w:sz w:val="32"/>
          <w:szCs w:val="32"/>
          <w:highlight w:val="none"/>
          <w:lang w:eastAsia="zh-CN"/>
        </w:rPr>
        <w:t>，未达标原因为：2024年，按照我委信息化项目逐渐整合的总体思路，实现数据融合，将CBD功能区产业转型升级及楼宇经济管理系统、CBD综合资源管理系统和金盏国际合作服务区管理平台系统整合成为CBD产业经济系统，完成了项目整合，以提升工作效率和经济效益，故该项目整体成本较指标值有所增加。2025年，我委统一按照产业经济系统项目申报预算，严格控制项目成本。</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（二）效果实现情况分析</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202</w:t>
      </w:r>
      <w:r>
        <w:rPr>
          <w:rFonts w:hint="eastAsia" w:ascii="Times New Roman" w:hAnsi="Times New Roman" w:eastAsia="仿宋_GB2312" w:cs="Times New Roman"/>
          <w:color w:val="000000"/>
          <w:kern w:val="0"/>
          <w:sz w:val="32"/>
          <w:szCs w:val="32"/>
          <w:highlight w:val="none"/>
          <w:lang w:val="en-US" w:eastAsia="zh-CN"/>
        </w:rPr>
        <w:t>4</w:t>
      </w:r>
      <w:r>
        <w:rPr>
          <w:rFonts w:hint="default" w:ascii="Times New Roman" w:hAnsi="Times New Roman" w:eastAsia="仿宋_GB2312" w:cs="Times New Roman"/>
          <w:color w:val="000000"/>
          <w:kern w:val="0"/>
          <w:sz w:val="32"/>
          <w:szCs w:val="32"/>
          <w:highlight w:val="none"/>
        </w:rPr>
        <w:t>年我部门圆满</w:t>
      </w:r>
      <w:r>
        <w:rPr>
          <w:rFonts w:hint="default" w:ascii="Times New Roman" w:hAnsi="Times New Roman" w:eastAsia="仿宋_GB2312" w:cs="Times New Roman"/>
          <w:color w:val="000000"/>
          <w:kern w:val="0"/>
          <w:sz w:val="32"/>
          <w:szCs w:val="32"/>
          <w:highlight w:val="none"/>
          <w:lang w:val="en-US" w:eastAsia="zh-CN"/>
        </w:rPr>
        <w:t>完成环境综合管理、工程现场运行保障、</w:t>
      </w:r>
      <w:r>
        <w:rPr>
          <w:rFonts w:hint="default" w:ascii="Times New Roman" w:hAnsi="Times New Roman" w:eastAsia="仿宋_GB2312" w:cs="Times New Roman"/>
          <w:color w:val="000000"/>
          <w:kern w:val="0"/>
          <w:sz w:val="32"/>
          <w:szCs w:val="32"/>
          <w:highlight w:val="none"/>
        </w:rPr>
        <w:t>信息系统维护服务</w:t>
      </w:r>
      <w:r>
        <w:rPr>
          <w:rFonts w:hint="default" w:ascii="Times New Roman" w:hAnsi="Times New Roman" w:eastAsia="仿宋_GB2312" w:cs="Times New Roman"/>
          <w:color w:val="000000"/>
          <w:kern w:val="0"/>
          <w:sz w:val="32"/>
          <w:szCs w:val="32"/>
          <w:highlight w:val="none"/>
          <w:lang w:val="en-US" w:eastAsia="zh-CN"/>
        </w:rPr>
        <w:t>等各</w:t>
      </w:r>
      <w:r>
        <w:rPr>
          <w:rFonts w:hint="default" w:ascii="Times New Roman" w:hAnsi="Times New Roman" w:eastAsia="仿宋_GB2312" w:cs="Times New Roman"/>
          <w:color w:val="000000"/>
          <w:kern w:val="0"/>
          <w:sz w:val="32"/>
          <w:szCs w:val="32"/>
          <w:highlight w:val="none"/>
        </w:rPr>
        <w:t>项工作。</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1.社会效益</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环境综合管理有力维护了区域环境整洁。通过开展环境美化、绿化养护、道路清扫等服务，积极落实绿地保洁、喷雾降尘、果皮箱清掏、道路遗撒清理等日常作业，高效应对突发性环境保障任务，显著提升区域环境品质。同时，推动停车诱导系统运行，强化公共空间运维，打造特色街区，提升区域品牌影响力，切实提高环境综合管理效力，为区域可持续发展筑牢根基。</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bCs/>
          <w:kern w:val="2"/>
          <w:sz w:val="32"/>
          <w:szCs w:val="32"/>
          <w:highlight w:val="none"/>
          <w:lang w:val="en-US" w:eastAsia="zh-CN" w:bidi="ar-SA"/>
        </w:rPr>
      </w:pPr>
      <w:r>
        <w:rPr>
          <w:rFonts w:hint="default" w:ascii="Times New Roman" w:hAnsi="Times New Roman" w:eastAsia="仿宋_GB2312" w:cs="Times New Roman"/>
          <w:color w:val="000000"/>
          <w:kern w:val="0"/>
          <w:sz w:val="32"/>
          <w:szCs w:val="32"/>
          <w:highlight w:val="none"/>
        </w:rPr>
        <w:t>工程现场运行保障工作切实维护了核心区的安全秩序。一方面，着力提升区域安全管理人员的专业技能，确保周边秩序井然，应急处置迅速高效，显著增强区域整体安全性。另一方面，强化管线与网络维护，升级信息化基础设施，全方位保障区域通信网络的稳定运行和市政能源的安全供应。此外，举办“安全生产月”活动，在CBD区域开展安全生产宣传培训，督促重点楼宇企业强化责任意识与安全管理能力，持续落实安全生产责任，</w:t>
      </w:r>
      <w:r>
        <w:rPr>
          <w:rFonts w:hint="default" w:ascii="Times New Roman" w:hAnsi="Times New Roman" w:eastAsia="仿宋_GB2312" w:cs="Times New Roman"/>
          <w:bCs/>
          <w:kern w:val="2"/>
          <w:sz w:val="32"/>
          <w:szCs w:val="32"/>
          <w:highlight w:val="none"/>
          <w:lang w:val="en-US" w:eastAsia="zh-CN" w:bidi="ar-SA"/>
        </w:rPr>
        <w:t>为CBD高质量发展保驾护航。</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信息系统维护服务显著提高工作效率，降低工作成本，助力政府部门提升工作质量与宏观决策能力</w:t>
      </w:r>
      <w:r>
        <w:rPr>
          <w:rFonts w:hint="eastAsia"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全力保障硬件、网络、软件系统稳定可靠，确保数据处理准确及时，保障数据存储与使用安全。运维期间，高效完成系统维护任务，网络稳定，数据处理迅速。按时完成月度数据更新，提供临时报表与比对数据，维护重点企业及楼宇经济数据，协助开展楼宇品质评价，依据业务需求，全方位守护信息系统安全稳定。</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bCs/>
          <w:kern w:val="2"/>
          <w:sz w:val="32"/>
          <w:szCs w:val="32"/>
          <w:highlight w:val="none"/>
          <w:lang w:val="en-US" w:eastAsia="zh-CN" w:bidi="ar-SA"/>
        </w:rPr>
      </w:pPr>
      <w:r>
        <w:rPr>
          <w:rFonts w:hint="default" w:ascii="Times New Roman" w:hAnsi="Times New Roman" w:eastAsia="仿宋_GB2312" w:cs="Times New Roman"/>
          <w:bCs/>
          <w:kern w:val="2"/>
          <w:sz w:val="32"/>
          <w:szCs w:val="32"/>
          <w:highlight w:val="none"/>
          <w:lang w:val="en-US" w:eastAsia="zh-CN" w:bidi="ar-SA"/>
        </w:rPr>
        <w:t>2.服务对象满意度</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bCs/>
          <w:kern w:val="2"/>
          <w:sz w:val="32"/>
          <w:szCs w:val="32"/>
          <w:highlight w:val="none"/>
          <w:lang w:val="en-US" w:eastAsia="zh-CN" w:bidi="ar-SA"/>
        </w:rPr>
      </w:pPr>
      <w:r>
        <w:rPr>
          <w:rFonts w:hint="default" w:ascii="Times New Roman" w:hAnsi="Times New Roman" w:eastAsia="仿宋_GB2312" w:cs="Times New Roman"/>
          <w:bCs/>
          <w:kern w:val="2"/>
          <w:sz w:val="32"/>
          <w:szCs w:val="32"/>
          <w:highlight w:val="none"/>
          <w:lang w:val="en-US" w:eastAsia="zh-CN" w:bidi="ar-SA"/>
        </w:rPr>
        <w:t>环境综合管理因服务不到位产生并确认的月均投诉量为1</w:t>
      </w:r>
      <w:r>
        <w:rPr>
          <w:rFonts w:hint="eastAsia" w:ascii="Times New Roman" w:hAnsi="Times New Roman" w:eastAsia="仿宋_GB2312" w:cs="Times New Roman"/>
          <w:bCs/>
          <w:kern w:val="2"/>
          <w:sz w:val="32"/>
          <w:szCs w:val="32"/>
          <w:highlight w:val="none"/>
          <w:lang w:val="en-US" w:eastAsia="zh-CN" w:bidi="ar-SA"/>
        </w:rPr>
        <w:t>.7</w:t>
      </w:r>
      <w:r>
        <w:rPr>
          <w:rFonts w:hint="default" w:ascii="Times New Roman" w:hAnsi="Times New Roman" w:eastAsia="仿宋_GB2312" w:cs="Times New Roman"/>
          <w:bCs/>
          <w:kern w:val="2"/>
          <w:sz w:val="32"/>
          <w:szCs w:val="32"/>
          <w:highlight w:val="none"/>
          <w:lang w:val="en-US" w:eastAsia="zh-CN" w:bidi="ar-SA"/>
        </w:rPr>
        <w:t>次（年度指标值≤1次）</w:t>
      </w:r>
      <w:r>
        <w:rPr>
          <w:rFonts w:hint="eastAsia" w:eastAsia="仿宋_GB2312" w:cs="Times New Roman"/>
          <w:bCs/>
          <w:kern w:val="2"/>
          <w:sz w:val="32"/>
          <w:szCs w:val="32"/>
          <w:highlight w:val="none"/>
          <w:lang w:val="en-US" w:eastAsia="zh-CN" w:bidi="ar-SA"/>
        </w:rPr>
        <w:t>，</w:t>
      </w:r>
      <w:r>
        <w:rPr>
          <w:rFonts w:hint="default" w:ascii="Times New Roman" w:hAnsi="Times New Roman" w:eastAsia="仿宋_GB2312" w:cs="Times New Roman"/>
          <w:color w:val="000000"/>
          <w:kern w:val="0"/>
          <w:sz w:val="32"/>
          <w:szCs w:val="32"/>
          <w:highlight w:val="none"/>
          <w:lang w:val="en-US" w:eastAsia="zh-CN"/>
        </w:rPr>
        <w:t>未达标原因为：作业标准有待进一步提升</w:t>
      </w:r>
      <w:r>
        <w:rPr>
          <w:rFonts w:hint="eastAsia" w:eastAsia="仿宋_GB2312" w:cs="Times New Roman"/>
          <w:color w:val="000000"/>
          <w:kern w:val="0"/>
          <w:sz w:val="32"/>
          <w:szCs w:val="32"/>
          <w:highlight w:val="none"/>
          <w:lang w:val="en-US" w:eastAsia="zh-CN"/>
        </w:rPr>
        <w:t>，如</w:t>
      </w:r>
      <w:r>
        <w:rPr>
          <w:rFonts w:hint="default" w:ascii="Times New Roman" w:hAnsi="Times New Roman" w:eastAsia="仿宋_GB2312" w:cs="Times New Roman"/>
          <w:color w:val="000000"/>
          <w:kern w:val="0"/>
          <w:sz w:val="32"/>
          <w:szCs w:val="32"/>
          <w:highlight w:val="none"/>
          <w:lang w:val="en-US" w:eastAsia="zh-CN"/>
        </w:rPr>
        <w:t>区域道路烟头、痰迹、张贴涂写小广告等乱象还普遍存在，一些卫生死角长期没有改观；作业人员年龄偏大，文化素质不高，责任心不够强</w:t>
      </w:r>
      <w:r>
        <w:rPr>
          <w:rFonts w:hint="eastAsia"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工作中违规作业现象还有发生</w:t>
      </w:r>
      <w:r>
        <w:rPr>
          <w:rFonts w:hint="eastAsia"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导致服务质量有欠缺，群众诉求量增加</w:t>
      </w:r>
      <w:r>
        <w:rPr>
          <w:rFonts w:hint="eastAsia" w:eastAsia="仿宋_GB2312" w:cs="Times New Roman"/>
          <w:color w:val="000000"/>
          <w:kern w:val="0"/>
          <w:sz w:val="32"/>
          <w:szCs w:val="32"/>
          <w:highlight w:val="none"/>
          <w:lang w:val="en-US" w:eastAsia="zh-CN"/>
        </w:rPr>
        <w:t>；下一步将</w:t>
      </w:r>
      <w:r>
        <w:rPr>
          <w:rFonts w:hint="default" w:ascii="Times New Roman" w:hAnsi="Times New Roman" w:eastAsia="仿宋_GB2312" w:cs="Times New Roman"/>
          <w:color w:val="000000"/>
          <w:kern w:val="0"/>
          <w:sz w:val="32"/>
          <w:szCs w:val="32"/>
          <w:highlight w:val="none"/>
          <w:lang w:val="en-US" w:eastAsia="zh-CN"/>
        </w:rPr>
        <w:t>严格落实考核制度，加强监督检查与作业人员培训教育，督促服务单位严格履行合同条款、不断提高道路清扫保洁作业标准。</w:t>
      </w:r>
      <w:r>
        <w:rPr>
          <w:rFonts w:hint="default" w:ascii="Times New Roman" w:hAnsi="Times New Roman" w:eastAsia="仿宋_GB2312" w:cs="Times New Roman"/>
          <w:bCs/>
          <w:kern w:val="2"/>
          <w:sz w:val="32"/>
          <w:szCs w:val="32"/>
          <w:highlight w:val="none"/>
          <w:lang w:val="en-US" w:eastAsia="zh-CN" w:bidi="ar-SA"/>
        </w:rPr>
        <w:t>工程现场运行保障全年投诉事件次数为0</w:t>
      </w:r>
      <w:r>
        <w:rPr>
          <w:rFonts w:hint="eastAsia" w:eastAsia="仿宋_GB2312" w:cs="Times New Roman"/>
          <w:bCs/>
          <w:kern w:val="2"/>
          <w:sz w:val="32"/>
          <w:szCs w:val="32"/>
          <w:highlight w:val="none"/>
          <w:lang w:val="en-US" w:eastAsia="zh-CN" w:bidi="ar-SA"/>
        </w:rPr>
        <w:t>件</w:t>
      </w:r>
      <w:r>
        <w:rPr>
          <w:rFonts w:hint="default" w:ascii="Times New Roman" w:hAnsi="Times New Roman" w:eastAsia="仿宋_GB2312" w:cs="Times New Roman"/>
          <w:bCs/>
          <w:kern w:val="2"/>
          <w:sz w:val="32"/>
          <w:szCs w:val="32"/>
          <w:highlight w:val="none"/>
          <w:lang w:val="en-US" w:eastAsia="zh-CN" w:bidi="ar-SA"/>
        </w:rPr>
        <w:t>（年度指标值≤</w:t>
      </w:r>
      <w:r>
        <w:rPr>
          <w:rFonts w:hint="eastAsia" w:eastAsia="仿宋_GB2312" w:cs="Times New Roman"/>
          <w:bCs/>
          <w:kern w:val="2"/>
          <w:sz w:val="32"/>
          <w:szCs w:val="32"/>
          <w:highlight w:val="none"/>
          <w:lang w:val="en-US" w:eastAsia="zh-CN" w:bidi="ar-SA"/>
        </w:rPr>
        <w:t>10</w:t>
      </w:r>
      <w:r>
        <w:rPr>
          <w:rFonts w:hint="default" w:ascii="Times New Roman" w:hAnsi="Times New Roman" w:eastAsia="仿宋_GB2312" w:cs="Times New Roman"/>
          <w:bCs/>
          <w:kern w:val="2"/>
          <w:sz w:val="32"/>
          <w:szCs w:val="32"/>
          <w:highlight w:val="none"/>
          <w:lang w:val="en-US" w:eastAsia="zh-CN" w:bidi="ar-SA"/>
        </w:rPr>
        <w:t>件）</w:t>
      </w:r>
      <w:r>
        <w:rPr>
          <w:rFonts w:hint="eastAsia" w:eastAsia="仿宋_GB2312" w:cs="Times New Roman"/>
          <w:bCs/>
          <w:kern w:val="2"/>
          <w:sz w:val="32"/>
          <w:szCs w:val="32"/>
          <w:highlight w:val="none"/>
          <w:lang w:val="en-US" w:eastAsia="zh-CN" w:bidi="ar-SA"/>
        </w:rPr>
        <w:t>，</w:t>
      </w:r>
      <w:r>
        <w:rPr>
          <w:rFonts w:hint="default" w:ascii="Times New Roman" w:hAnsi="Times New Roman" w:eastAsia="仿宋_GB2312" w:cs="Times New Roman"/>
          <w:bCs/>
          <w:kern w:val="2"/>
          <w:sz w:val="32"/>
          <w:szCs w:val="32"/>
          <w:highlight w:val="none"/>
          <w:lang w:val="en-US" w:eastAsia="zh-CN" w:bidi="ar-SA"/>
        </w:rPr>
        <w:t>达到年度指标值；</w:t>
      </w:r>
      <w:r>
        <w:rPr>
          <w:rFonts w:hint="default" w:ascii="Times New Roman" w:hAnsi="Times New Roman" w:eastAsia="仿宋_GB2312" w:cs="Times New Roman"/>
          <w:color w:val="000000"/>
          <w:kern w:val="0"/>
          <w:sz w:val="32"/>
          <w:szCs w:val="32"/>
          <w:highlight w:val="none"/>
        </w:rPr>
        <w:t>信息系统维护服务</w:t>
      </w:r>
      <w:r>
        <w:rPr>
          <w:rFonts w:hint="default" w:ascii="Times New Roman" w:hAnsi="Times New Roman" w:eastAsia="仿宋_GB2312" w:cs="Times New Roman"/>
          <w:bCs/>
          <w:kern w:val="2"/>
          <w:sz w:val="32"/>
          <w:szCs w:val="32"/>
          <w:highlight w:val="none"/>
          <w:lang w:val="en-US" w:eastAsia="zh-CN" w:bidi="ar-SA"/>
        </w:rPr>
        <w:t>系统使用用户满意度</w:t>
      </w:r>
      <w:r>
        <w:rPr>
          <w:rFonts w:hint="eastAsia" w:eastAsia="仿宋_GB2312" w:cs="Times New Roman"/>
          <w:bCs/>
          <w:kern w:val="2"/>
          <w:sz w:val="32"/>
          <w:szCs w:val="32"/>
          <w:highlight w:val="none"/>
          <w:lang w:val="en-US" w:eastAsia="zh-CN" w:bidi="ar-SA"/>
        </w:rPr>
        <w:t>为90</w:t>
      </w:r>
      <w:r>
        <w:rPr>
          <w:rFonts w:hint="default" w:ascii="Times New Roman" w:hAnsi="Times New Roman" w:eastAsia="仿宋_GB2312" w:cs="Times New Roman"/>
          <w:bCs/>
          <w:kern w:val="2"/>
          <w:sz w:val="32"/>
          <w:szCs w:val="32"/>
          <w:highlight w:val="none"/>
          <w:lang w:val="en-US" w:eastAsia="zh-CN" w:bidi="ar-SA"/>
        </w:rPr>
        <w:t>%（年度指标值≥9</w:t>
      </w:r>
      <w:r>
        <w:rPr>
          <w:rFonts w:hint="eastAsia" w:eastAsia="仿宋_GB2312" w:cs="Times New Roman"/>
          <w:bCs/>
          <w:kern w:val="2"/>
          <w:sz w:val="32"/>
          <w:szCs w:val="32"/>
          <w:highlight w:val="none"/>
          <w:lang w:val="en-US" w:eastAsia="zh-CN" w:bidi="ar-SA"/>
        </w:rPr>
        <w:t>0</w:t>
      </w:r>
      <w:r>
        <w:rPr>
          <w:rFonts w:hint="default" w:ascii="Times New Roman" w:hAnsi="Times New Roman" w:eastAsia="仿宋_GB2312" w:cs="Times New Roman"/>
          <w:bCs/>
          <w:kern w:val="2"/>
          <w:sz w:val="32"/>
          <w:szCs w:val="32"/>
          <w:highlight w:val="none"/>
          <w:lang w:val="en-US" w:eastAsia="zh-CN" w:bidi="ar-SA"/>
        </w:rPr>
        <w:t>%）</w:t>
      </w:r>
      <w:r>
        <w:rPr>
          <w:rFonts w:hint="eastAsia" w:eastAsia="仿宋_GB2312" w:cs="Times New Roman"/>
          <w:bCs/>
          <w:kern w:val="2"/>
          <w:sz w:val="32"/>
          <w:szCs w:val="32"/>
          <w:highlight w:val="none"/>
          <w:lang w:val="en-US" w:eastAsia="zh-CN" w:bidi="ar-SA"/>
        </w:rPr>
        <w:t>，</w:t>
      </w:r>
      <w:r>
        <w:rPr>
          <w:rFonts w:hint="default" w:ascii="Times New Roman" w:hAnsi="Times New Roman" w:eastAsia="仿宋_GB2312" w:cs="Times New Roman"/>
          <w:bCs/>
          <w:kern w:val="2"/>
          <w:sz w:val="32"/>
          <w:szCs w:val="32"/>
          <w:highlight w:val="none"/>
          <w:lang w:val="en-US" w:eastAsia="zh-CN" w:bidi="ar-SA"/>
        </w:rPr>
        <w:t>达到年度指标值。</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480" w:firstLineChars="150"/>
        <w:textAlignment w:val="auto"/>
        <w:outlineLvl w:val="9"/>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（一）财务管理</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1.财务管理制度健全性</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为做好预算管理工作，规范预算的执行程序，提高项目执行效率，我部门编制并严格执行《财务管理制度》《内部控制手册》等一系列规章制度，并及时依据相关法律法规修订完善制度体系</w:t>
      </w:r>
      <w:r>
        <w:rPr>
          <w:rFonts w:hint="eastAsia" w:ascii="Times New Roman" w:hAnsi="Times New Roman" w:eastAsia="仿宋_GB2312" w:cs="Times New Roman"/>
          <w:bCs/>
          <w:kern w:val="2"/>
          <w:sz w:val="32"/>
          <w:szCs w:val="32"/>
          <w:lang w:val="en-US" w:eastAsia="zh-CN" w:bidi="ar-SA"/>
        </w:rPr>
        <w:t>，</w:t>
      </w:r>
      <w:r>
        <w:rPr>
          <w:rFonts w:hint="default" w:ascii="Times New Roman" w:hAnsi="Times New Roman" w:eastAsia="仿宋_GB2312" w:cs="Times New Roman"/>
          <w:bCs/>
          <w:kern w:val="2"/>
          <w:sz w:val="32"/>
          <w:szCs w:val="32"/>
          <w:lang w:val="en-US" w:eastAsia="zh-CN" w:bidi="ar-SA"/>
        </w:rPr>
        <w:t>提高预算申报和资金使用管理等流程的规范性。</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2.资金使用合规性和安全性</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在202</w:t>
      </w:r>
      <w:r>
        <w:rPr>
          <w:rFonts w:hint="eastAsia" w:ascii="Times New Roman" w:hAnsi="Times New Roman" w:eastAsia="仿宋_GB2312" w:cs="Times New Roman"/>
          <w:bCs/>
          <w:kern w:val="2"/>
          <w:sz w:val="32"/>
          <w:szCs w:val="32"/>
          <w:lang w:val="en-US" w:eastAsia="zh-CN" w:bidi="ar-SA"/>
        </w:rPr>
        <w:t>4</w:t>
      </w:r>
      <w:r>
        <w:rPr>
          <w:rFonts w:hint="default" w:ascii="Times New Roman" w:hAnsi="Times New Roman" w:eastAsia="仿宋_GB2312" w:cs="Times New Roman"/>
          <w:bCs/>
          <w:kern w:val="2"/>
          <w:sz w:val="32"/>
          <w:szCs w:val="32"/>
          <w:lang w:val="en-US" w:eastAsia="zh-CN" w:bidi="ar-SA"/>
        </w:rPr>
        <w:t>年部门预算管理中，</w:t>
      </w:r>
      <w:r>
        <w:rPr>
          <w:rFonts w:hint="default" w:ascii="Times New Roman" w:hAnsi="Times New Roman" w:eastAsia="仿宋_GB2312" w:cs="Times New Roman"/>
          <w:color w:val="000000"/>
          <w:kern w:val="0"/>
          <w:sz w:val="32"/>
          <w:szCs w:val="32"/>
        </w:rPr>
        <w:t>我部门各项目均严格按照</w:t>
      </w:r>
      <w:r>
        <w:rPr>
          <w:rFonts w:hint="default" w:ascii="Times New Roman" w:hAnsi="Times New Roman" w:eastAsia="仿宋_GB2312" w:cs="Times New Roman"/>
          <w:color w:val="000000"/>
          <w:kern w:val="0"/>
          <w:sz w:val="32"/>
          <w:szCs w:val="32"/>
          <w:lang w:val="en-US" w:eastAsia="zh-CN"/>
        </w:rPr>
        <w:t>部门的</w:t>
      </w:r>
      <w:r>
        <w:rPr>
          <w:rFonts w:hint="default" w:ascii="Times New Roman" w:hAnsi="Times New Roman" w:eastAsia="仿宋_GB2312" w:cs="Times New Roman"/>
          <w:color w:val="000000"/>
          <w:kern w:val="0"/>
          <w:sz w:val="32"/>
          <w:szCs w:val="32"/>
        </w:rPr>
        <w:t>资金管理制度和资金支付流程进行管理，</w:t>
      </w:r>
      <w:r>
        <w:rPr>
          <w:rFonts w:hint="default" w:ascii="Times New Roman" w:hAnsi="Times New Roman" w:eastAsia="仿宋_GB2312" w:cs="Times New Roman"/>
          <w:sz w:val="32"/>
          <w:szCs w:val="32"/>
        </w:rPr>
        <w:t>从预算编制开始对项目整体实施进行规划，结合内外部因素层层细化，</w:t>
      </w:r>
      <w:r>
        <w:rPr>
          <w:rFonts w:hint="default" w:ascii="Times New Roman" w:hAnsi="Times New Roman" w:eastAsia="仿宋_GB2312" w:cs="Times New Roman"/>
          <w:bCs/>
          <w:kern w:val="2"/>
          <w:sz w:val="32"/>
          <w:szCs w:val="32"/>
          <w:lang w:val="en-US" w:eastAsia="zh-CN" w:bidi="ar-SA"/>
        </w:rPr>
        <w:t>将厉行节约与部门预算管理相结合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严格准确立项。项目资金在使用过程中加强项目管理和检查，在结项后及时总结分析；</w:t>
      </w:r>
      <w:r>
        <w:rPr>
          <w:rFonts w:hint="default" w:ascii="Times New Roman" w:hAnsi="Times New Roman" w:eastAsia="仿宋_GB2312" w:cs="Times New Roman"/>
          <w:color w:val="000000"/>
          <w:kern w:val="0"/>
          <w:sz w:val="32"/>
          <w:szCs w:val="32"/>
        </w:rPr>
        <w:t>严格按照财政预算执行进度及各项资金管理办法要求，在合同规定范围内及时完成支付</w:t>
      </w:r>
      <w:r>
        <w:rPr>
          <w:rFonts w:hint="default" w:ascii="Times New Roman" w:hAnsi="Times New Roman" w:eastAsia="仿宋_GB2312" w:cs="Times New Roman"/>
          <w:bCs/>
          <w:kern w:val="2"/>
          <w:sz w:val="32"/>
          <w:szCs w:val="32"/>
          <w:lang w:val="en-US" w:eastAsia="zh-CN" w:bidi="ar-SA"/>
        </w:rPr>
        <w:t>，提高预算资金使用的合规性和安全性</w:t>
      </w:r>
      <w:r>
        <w:rPr>
          <w:rFonts w:hint="default" w:ascii="Times New Roman" w:hAnsi="Times New Roman" w:eastAsia="仿宋_GB2312" w:cs="Times New Roman"/>
          <w:color w:val="000000"/>
          <w:kern w:val="0"/>
          <w:sz w:val="32"/>
          <w:szCs w:val="32"/>
        </w:rPr>
        <w:t>。</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3.会计基础信息完善性</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根据财政局关于做好部门预决算公开的相关要求，应将预算信息及时公开，本部门及所属事业单位均及时并完整</w:t>
      </w:r>
      <w:r>
        <w:rPr>
          <w:rFonts w:hint="eastAsia" w:eastAsia="仿宋_GB2312" w:cs="Times New Roman"/>
          <w:bCs/>
          <w:kern w:val="2"/>
          <w:sz w:val="32"/>
          <w:szCs w:val="32"/>
          <w:lang w:val="en-US" w:eastAsia="zh-CN" w:bidi="ar-SA"/>
        </w:rPr>
        <w:t>地</w:t>
      </w:r>
      <w:r>
        <w:rPr>
          <w:rFonts w:hint="default" w:ascii="Times New Roman" w:hAnsi="Times New Roman" w:eastAsia="仿宋_GB2312" w:cs="Times New Roman"/>
          <w:bCs/>
          <w:kern w:val="2"/>
          <w:sz w:val="32"/>
          <w:szCs w:val="32"/>
          <w:lang w:val="en-US" w:eastAsia="zh-CN" w:bidi="ar-SA"/>
        </w:rPr>
        <w:t>向社会公开部门的预决算信息。</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（二）资产管理</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在资产管理工作中，严格按照资产配置标准配置资产，按时完成部门资产动态系统的年度报告工作。</w:t>
      </w:r>
      <w:r>
        <w:rPr>
          <w:rFonts w:hint="default" w:ascii="Times New Roman" w:hAnsi="Times New Roman" w:eastAsia="仿宋_GB2312" w:cs="Times New Roman"/>
          <w:sz w:val="32"/>
          <w:szCs w:val="32"/>
        </w:rPr>
        <w:t>通过制定资产管理计划，使资金合理配置，保证了各项经营活动的正常开展。在项目执行过程中，建立健全了资产管理审批程序和规章制度</w:t>
      </w:r>
      <w:r>
        <w:rPr>
          <w:rFonts w:hint="default" w:ascii="Times New Roman" w:hAnsi="Times New Roman" w:eastAsia="仿宋_GB2312" w:cs="Times New Roman"/>
          <w:bCs/>
          <w:kern w:val="2"/>
          <w:sz w:val="32"/>
          <w:szCs w:val="32"/>
          <w:lang w:val="en-US" w:eastAsia="zh-CN" w:bidi="ar-SA"/>
        </w:rPr>
        <w:t>，相关部门和岗位的职责权限明确</w:t>
      </w:r>
      <w:r>
        <w:rPr>
          <w:rFonts w:hint="default" w:ascii="Times New Roman" w:hAnsi="Times New Roman" w:eastAsia="仿宋_GB2312" w:cs="Times New Roman"/>
          <w:sz w:val="32"/>
          <w:szCs w:val="32"/>
        </w:rPr>
        <w:t>：主要业务经办人员按规定履行审批手续，落实各项审批工作；财务主管和总账会计对各项审批的合法性、真实性、完整性负责。</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（三）绩效管理</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在项目管理过程中，我单位结合实际情况，</w:t>
      </w:r>
      <w:r>
        <w:rPr>
          <w:rFonts w:hint="default" w:ascii="Times New Roman" w:hAnsi="Times New Roman" w:eastAsia="仿宋_GB2312" w:cs="Times New Roman"/>
          <w:sz w:val="32"/>
          <w:szCs w:val="32"/>
          <w:lang w:val="en-US" w:eastAsia="zh-CN"/>
        </w:rPr>
        <w:t>根据</w:t>
      </w:r>
      <w:r>
        <w:rPr>
          <w:rFonts w:hint="default" w:ascii="Times New Roman" w:hAnsi="Times New Roman" w:eastAsia="仿宋_GB2312" w:cs="Times New Roman"/>
          <w:sz w:val="32"/>
          <w:szCs w:val="32"/>
        </w:rPr>
        <w:t>预算绩效管理办法，将绩效评价结果与预算安排挂钩。</w:t>
      </w:r>
      <w:r>
        <w:rPr>
          <w:rFonts w:hint="default" w:ascii="Times New Roman" w:hAnsi="Times New Roman" w:eastAsia="仿宋_GB2312" w:cs="Times New Roman"/>
          <w:bCs/>
          <w:kern w:val="2"/>
          <w:sz w:val="32"/>
          <w:szCs w:val="32"/>
          <w:lang w:val="en-US" w:eastAsia="zh-CN" w:bidi="ar-SA"/>
        </w:rPr>
        <w:t>在项目实施过程中进行定期和不定期检查，对存在不规范的项目及时跟进处理，做到事前控制、事中监督、事后评价，通过规范业务流程，构筑内部监督管理体系。同时更加重视科学决策，进一步细化项目预算内容和规划目标，针对重点工作内容制定相关专项方案，加强项目可研、中长期计划对部门决策的引领和指导，为合理设定部门整体绩效目标、产出指标、精准编制预算提供可靠依据。</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（四）结转结余率</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eastAsia" w:eastAsia="仿宋_GB2312" w:cs="Times New Roman"/>
          <w:color w:val="000000"/>
          <w:kern w:val="0"/>
          <w:sz w:val="32"/>
          <w:szCs w:val="32"/>
          <w:lang w:eastAsia="zh-CN"/>
        </w:rPr>
        <w:t>除以前年度基建项目结转外，</w:t>
      </w:r>
      <w:r>
        <w:rPr>
          <w:rFonts w:hint="default" w:ascii="Times New Roman" w:hAnsi="Times New Roman" w:eastAsia="仿宋_GB2312" w:cs="Times New Roman"/>
          <w:sz w:val="32"/>
          <w:szCs w:val="32"/>
          <w:highlight w:val="none"/>
        </w:rPr>
        <w:t>我部门</w:t>
      </w:r>
      <w:r>
        <w:rPr>
          <w:rFonts w:hint="default" w:ascii="Times New Roman" w:hAnsi="Times New Roman" w:eastAsia="仿宋_GB2312" w:cs="Times New Roman"/>
          <w:color w:val="000000"/>
          <w:kern w:val="0"/>
          <w:sz w:val="32"/>
          <w:szCs w:val="32"/>
          <w:lang w:eastAsia="zh-CN"/>
        </w:rPr>
        <w:t>202</w:t>
      </w:r>
      <w:r>
        <w:rPr>
          <w:rFonts w:hint="eastAsia"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sz w:val="32"/>
          <w:szCs w:val="32"/>
          <w:highlight w:val="none"/>
        </w:rPr>
        <w:t>年度</w:t>
      </w:r>
      <w:r>
        <w:rPr>
          <w:rFonts w:hint="eastAsia" w:eastAsia="仿宋_GB2312" w:cs="Times New Roman"/>
          <w:sz w:val="32"/>
          <w:szCs w:val="32"/>
          <w:highlight w:val="none"/>
          <w:lang w:eastAsia="zh-CN"/>
        </w:rPr>
        <w:t>当年预算项目无结转结余。</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（五）部门预决算差异率</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我部门202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年度财政拨款收入预决算差异率为8.</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480" w:firstLineChars="150"/>
        <w:textAlignment w:val="auto"/>
        <w:outlineLvl w:val="9"/>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（一）评价得分情况</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我部门202</w:t>
      </w:r>
      <w:r>
        <w:rPr>
          <w:rFonts w:hint="eastAsia" w:ascii="Times New Roman" w:hAnsi="Times New Roman" w:eastAsia="仿宋_GB2312" w:cs="Times New Roman"/>
          <w:bCs/>
          <w:kern w:val="2"/>
          <w:sz w:val="32"/>
          <w:szCs w:val="32"/>
          <w:lang w:val="en-US" w:eastAsia="zh-CN" w:bidi="ar-SA"/>
        </w:rPr>
        <w:t>4</w:t>
      </w:r>
      <w:r>
        <w:rPr>
          <w:rFonts w:hint="default" w:ascii="Times New Roman" w:hAnsi="Times New Roman" w:eastAsia="仿宋_GB2312" w:cs="Times New Roman"/>
          <w:bCs/>
          <w:kern w:val="2"/>
          <w:sz w:val="32"/>
          <w:szCs w:val="32"/>
          <w:lang w:val="en-US" w:eastAsia="zh-CN" w:bidi="ar-SA"/>
        </w:rPr>
        <w:t>年度预算项目总计</w:t>
      </w:r>
      <w:r>
        <w:rPr>
          <w:rFonts w:hint="eastAsia" w:ascii="Times New Roman" w:hAnsi="Times New Roman" w:eastAsia="仿宋_GB2312" w:cs="Times New Roman"/>
          <w:bCs/>
          <w:kern w:val="2"/>
          <w:sz w:val="32"/>
          <w:szCs w:val="32"/>
          <w:lang w:val="en-US" w:eastAsia="zh-CN" w:bidi="ar-SA"/>
        </w:rPr>
        <w:t>71</w:t>
      </w:r>
      <w:r>
        <w:rPr>
          <w:rFonts w:hint="default" w:ascii="Times New Roman" w:hAnsi="Times New Roman" w:eastAsia="仿宋_GB2312" w:cs="Times New Roman"/>
          <w:bCs/>
          <w:kern w:val="2"/>
          <w:sz w:val="32"/>
          <w:szCs w:val="32"/>
          <w:lang w:val="en-US" w:eastAsia="zh-CN" w:bidi="ar-SA"/>
        </w:rPr>
        <w:t>个，实际执行</w:t>
      </w:r>
      <w:r>
        <w:rPr>
          <w:rFonts w:hint="eastAsia" w:ascii="Times New Roman" w:hAnsi="Times New Roman" w:eastAsia="仿宋_GB2312" w:cs="Times New Roman"/>
          <w:bCs/>
          <w:kern w:val="2"/>
          <w:sz w:val="32"/>
          <w:szCs w:val="32"/>
          <w:lang w:val="en-US" w:eastAsia="zh-CN" w:bidi="ar-SA"/>
        </w:rPr>
        <w:t>71</w:t>
      </w:r>
      <w:r>
        <w:rPr>
          <w:rFonts w:hint="default" w:ascii="Times New Roman" w:hAnsi="Times New Roman" w:eastAsia="仿宋_GB2312" w:cs="Times New Roman"/>
          <w:bCs/>
          <w:kern w:val="2"/>
          <w:sz w:val="32"/>
          <w:szCs w:val="32"/>
          <w:lang w:val="en-US" w:eastAsia="zh-CN" w:bidi="ar-SA"/>
        </w:rPr>
        <w:t>个。经绩效自评，</w:t>
      </w:r>
      <w:r>
        <w:rPr>
          <w:rFonts w:hint="eastAsia" w:ascii="Times New Roman" w:hAnsi="Times New Roman" w:eastAsia="仿宋_GB2312" w:cs="Times New Roman"/>
          <w:bCs/>
          <w:kern w:val="2"/>
          <w:sz w:val="32"/>
          <w:szCs w:val="32"/>
          <w:lang w:val="en-US" w:eastAsia="zh-CN" w:bidi="ar-SA"/>
        </w:rPr>
        <w:t>69个项目得分90分以上</w:t>
      </w:r>
      <w:r>
        <w:rPr>
          <w:rFonts w:hint="default" w:ascii="Times New Roman" w:hAnsi="Times New Roman" w:eastAsia="仿宋_GB2312" w:cs="Times New Roman"/>
          <w:bCs/>
          <w:kern w:val="2"/>
          <w:sz w:val="32"/>
          <w:szCs w:val="32"/>
          <w:lang w:val="en-US" w:eastAsia="zh-CN" w:bidi="ar-SA"/>
        </w:rPr>
        <w:t>。</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（二）存在的问题及原因分析</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1.项目绩效目标申报问题：项目绩效目标申报表填写欠科学合理，指标设置存在缺失</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因履职工作存在大量如环境整洁、秩序安全等软性成果，指标量化难度大，且缺乏合适量化标准，致使评价主观性强，结果难以做到准确客观。</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eastAsia"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项目进度与规划不足：项目总体进度规划需进一步细化，部分项目进度滞后，预算执行率较低</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部分项目方案组织架构不清晰，责任分工不明确，进度安排粗略，且与相关部门沟通协调欠缺。</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eastAsia"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项目实施管理短板：项目实施过程中，缺少具体的项目管理及第三方工作监督管理细则，缺乏项目全周期执行与实现情况的总结分析</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项目成果效益相关资料和数据呈现不充分，数据收集质量有待提升，统计口径缺乏统一标准，造成数据整合困难，影响评价准确性。</w:t>
      </w:r>
    </w:p>
    <w:p>
      <w:pPr>
        <w:keepNext w:val="0"/>
        <w:keepLines w:val="0"/>
        <w:pageBreakBefore w:val="0"/>
        <w:widowControl w:val="0"/>
        <w:kinsoku/>
        <w:wordWrap w:val="0"/>
        <w:overflowPunct/>
        <w:topLinePunct w:val="0"/>
        <w:autoSpaceDE/>
        <w:autoSpaceDN/>
        <w:bidi w:val="0"/>
        <w:adjustRightInd/>
        <w:snapToGrid/>
        <w:spacing w:line="600" w:lineRule="exact"/>
        <w:ind w:right="0" w:rightChars="0" w:firstLine="640" w:firstLineChars="200"/>
        <w:textAlignment w:val="auto"/>
        <w:outlineLvl w:val="9"/>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hint="eastAsia" w:eastAsia="仿宋_GB2312" w:cs="Times New Roman"/>
          <w:color w:val="000000"/>
          <w:kern w:val="0"/>
          <w:sz w:val="32"/>
          <w:szCs w:val="32"/>
          <w:lang w:eastAsia="zh-CN"/>
        </w:rPr>
        <w:t>优化</w:t>
      </w:r>
      <w:r>
        <w:rPr>
          <w:rFonts w:hint="default" w:ascii="Times New Roman" w:hAnsi="Times New Roman" w:eastAsia="仿宋_GB2312" w:cs="Times New Roman"/>
          <w:color w:val="000000"/>
          <w:kern w:val="0"/>
          <w:sz w:val="32"/>
          <w:szCs w:val="32"/>
        </w:rPr>
        <w:t>绩效目标</w:t>
      </w:r>
      <w:r>
        <w:rPr>
          <w:rFonts w:hint="default" w:ascii="Times New Roman" w:hAnsi="Times New Roman" w:eastAsia="仿宋_GB2312" w:cs="Times New Roman"/>
          <w:color w:val="000000"/>
          <w:kern w:val="0"/>
          <w:sz w:val="32"/>
          <w:szCs w:val="32"/>
          <w:lang w:eastAsia="zh-CN"/>
        </w:rPr>
        <w:t>填报</w:t>
      </w:r>
      <w:r>
        <w:rPr>
          <w:rFonts w:hint="default" w:ascii="Times New Roman" w:hAnsi="Times New Roman" w:eastAsia="仿宋_GB2312" w:cs="Times New Roman"/>
          <w:color w:val="000000"/>
          <w:kern w:val="0"/>
          <w:sz w:val="32"/>
          <w:szCs w:val="32"/>
        </w:rPr>
        <w:t>，提升预算管理水平</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深化项目预算绩效管理理念，确保及时、完整地收集绩效成果资料。同时，应当严格按照编制要求，科学合理地设定绩效指标，确保指标值与实际工作紧密结合，与资金完成的任务量相匹配，加强项目绩效目标对实施的约束力，从而提升预算管理水平。</w:t>
      </w:r>
      <w:r>
        <w:rPr>
          <w:rFonts w:hint="default" w:ascii="Times New Roman" w:hAnsi="Times New Roman" w:eastAsia="仿宋_GB2312" w:cs="Times New Roman"/>
          <w:color w:val="000000"/>
          <w:kern w:val="0"/>
          <w:sz w:val="32"/>
          <w:szCs w:val="32"/>
        </w:rPr>
        <w:t>收集优秀绩效目标申报案例，结合本项目实际情况，制定符合自身需求的申报标准和规范，减少评价主观性，保证评价结果的客观准确。</w:t>
      </w:r>
    </w:p>
    <w:p>
      <w:pPr>
        <w:keepNext w:val="0"/>
        <w:keepLines w:val="0"/>
        <w:pageBreakBefore w:val="0"/>
        <w:widowControl w:val="0"/>
        <w:kinsoku/>
        <w:wordWrap w:val="0"/>
        <w:overflowPunct/>
        <w:topLinePunct w:val="0"/>
        <w:autoSpaceDE/>
        <w:autoSpaceDN/>
        <w:bidi w:val="0"/>
        <w:adjustRightInd/>
        <w:snapToGrid/>
        <w:spacing w:line="600" w:lineRule="exact"/>
        <w:ind w:left="105" w:leftChars="50"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2.强化预算执行，提高预算的准确性和科学性</w:t>
      </w:r>
    </w:p>
    <w:p>
      <w:pPr>
        <w:pStyle w:val="2"/>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在预算执行过程中，</w:t>
      </w:r>
      <w:r>
        <w:rPr>
          <w:rFonts w:hint="default" w:ascii="Times New Roman" w:hAnsi="Times New Roman" w:eastAsia="仿宋_GB2312" w:cs="Times New Roman"/>
          <w:sz w:val="32"/>
          <w:szCs w:val="32"/>
        </w:rPr>
        <w:t>各</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应</w:t>
      </w:r>
      <w:r>
        <w:rPr>
          <w:rFonts w:hint="default" w:ascii="Times New Roman" w:hAnsi="Times New Roman" w:eastAsia="仿宋_GB2312" w:cs="Times New Roman"/>
          <w:bCs/>
          <w:kern w:val="2"/>
          <w:sz w:val="32"/>
          <w:szCs w:val="32"/>
          <w:lang w:val="en-US" w:eastAsia="zh-CN" w:bidi="ar-SA"/>
        </w:rPr>
        <w:t>科学预判年度经费需求，合理准确编制项目预算，</w:t>
      </w:r>
      <w:r>
        <w:rPr>
          <w:rFonts w:hint="default" w:ascii="Times New Roman" w:hAnsi="Times New Roman" w:eastAsia="仿宋_GB2312" w:cs="Times New Roman"/>
          <w:sz w:val="32"/>
          <w:szCs w:val="32"/>
          <w:lang w:eastAsia="zh-CN"/>
        </w:rPr>
        <w:t>结合支付进度的要求</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2"/>
          <w:szCs w:val="32"/>
        </w:rPr>
        <w:t>对总体进度规划进行二次梳理，明确各阶段关键节点和任务</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sz w:val="32"/>
          <w:szCs w:val="32"/>
          <w:lang w:eastAsia="zh-CN"/>
        </w:rPr>
        <w:t>提</w:t>
      </w:r>
      <w:r>
        <w:rPr>
          <w:rFonts w:hint="default" w:ascii="Times New Roman" w:hAnsi="Times New Roman" w:eastAsia="仿宋_GB2312" w:cs="Times New Roman"/>
          <w:sz w:val="32"/>
          <w:szCs w:val="32"/>
          <w:lang w:eastAsia="zh-CN"/>
        </w:rPr>
        <w:t>前规划</w:t>
      </w:r>
      <w:r>
        <w:rPr>
          <w:rFonts w:hint="default" w:ascii="Times New Roman" w:hAnsi="Times New Roman" w:eastAsia="仿宋_GB2312" w:cs="Times New Roman"/>
          <w:color w:val="000000"/>
          <w:sz w:val="32"/>
          <w:szCs w:val="32"/>
          <w:lang w:eastAsia="zh-CN"/>
        </w:rPr>
        <w:t>预算项目资金安排。</w:t>
      </w:r>
      <w:r>
        <w:rPr>
          <w:rFonts w:hint="default" w:ascii="Times New Roman" w:hAnsi="Times New Roman" w:eastAsia="仿宋_GB2312" w:cs="Times New Roman"/>
          <w:color w:val="000000"/>
          <w:sz w:val="32"/>
          <w:szCs w:val="32"/>
          <w:lang w:val="en-US" w:eastAsia="zh-CN"/>
        </w:rPr>
        <w:t>同时</w:t>
      </w:r>
      <w:r>
        <w:rPr>
          <w:rFonts w:hint="default" w:ascii="Times New Roman" w:hAnsi="Times New Roman" w:eastAsia="仿宋_GB2312" w:cs="Times New Roman"/>
          <w:color w:val="000000"/>
          <w:kern w:val="0"/>
          <w:sz w:val="32"/>
          <w:szCs w:val="32"/>
        </w:rPr>
        <w:t>加强</w:t>
      </w:r>
      <w:r>
        <w:rPr>
          <w:rFonts w:hint="default" w:ascii="Times New Roman" w:hAnsi="Times New Roman" w:eastAsia="仿宋_GB2312" w:cs="Times New Roman"/>
          <w:color w:val="000000"/>
          <w:kern w:val="0"/>
          <w:sz w:val="32"/>
          <w:szCs w:val="32"/>
          <w:lang w:val="en-US" w:eastAsia="zh-CN"/>
        </w:rPr>
        <w:t>对</w:t>
      </w:r>
      <w:r>
        <w:rPr>
          <w:rFonts w:hint="default" w:ascii="Times New Roman" w:hAnsi="Times New Roman" w:eastAsia="仿宋_GB2312" w:cs="Times New Roman"/>
          <w:color w:val="000000"/>
          <w:kern w:val="0"/>
          <w:sz w:val="32"/>
          <w:szCs w:val="32"/>
        </w:rPr>
        <w:t>机关及下属单位的预决算审核，落实政</w:t>
      </w:r>
      <w:r>
        <w:rPr>
          <w:rFonts w:hint="eastAsia" w:ascii="仿宋_GB2312" w:hAnsi="仿宋_GB2312" w:eastAsia="仿宋_GB2312" w:cs="仿宋_GB2312"/>
          <w:color w:val="000000"/>
          <w:kern w:val="0"/>
          <w:sz w:val="32"/>
          <w:szCs w:val="32"/>
        </w:rPr>
        <w:t>府“过紧日子”要求</w:t>
      </w:r>
      <w:r>
        <w:rPr>
          <w:rFonts w:hint="default" w:ascii="Times New Roman" w:hAnsi="Times New Roman" w:eastAsia="仿宋_GB2312" w:cs="Times New Roman"/>
          <w:color w:val="000000"/>
          <w:kern w:val="0"/>
          <w:sz w:val="32"/>
          <w:szCs w:val="32"/>
        </w:rPr>
        <w:t>，确保厉行节约形成长效机制</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做到预算与执行相结合，提高目标对项目实施的约束力，把绩效要求转化为推动工作的实际行动，提高执行效率。</w:t>
      </w:r>
    </w:p>
    <w:p>
      <w:pPr>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color w:val="000000"/>
          <w:kern w:val="0"/>
          <w:sz w:val="32"/>
          <w:szCs w:val="32"/>
          <w:lang w:val="en-US" w:eastAsia="zh-CN"/>
        </w:rPr>
        <w:t>加强监督管理，强化项目成果应用</w:t>
      </w:r>
    </w:p>
    <w:p>
      <w:pPr>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建立健全资金监管机制和工作质量监管机制，加强业务监督监管，明确业务标准与要求。进一步完善项目实施方案，严格合同管理，建立对第三方服务质量的监管机制，注重考核第三方对合同约定服务内容的履约情况，以保障资金投入及产出效果的匹配度，充分发挥资金使用效益。同时</w:t>
      </w:r>
      <w:r>
        <w:rPr>
          <w:rFonts w:hint="default" w:ascii="Times New Roman" w:hAnsi="Times New Roman" w:eastAsia="仿宋_GB2312" w:cs="Times New Roman"/>
          <w:color w:val="000000"/>
          <w:kern w:val="0"/>
          <w:sz w:val="32"/>
          <w:szCs w:val="32"/>
        </w:rPr>
        <w:t>加强调研成果的应用，及时组织各部门研究。规范数据收集流程，统一统计口径，建立数据审核机制，提高数据收集质</w:t>
      </w:r>
      <w:bookmarkStart w:id="1" w:name="_GoBack"/>
      <w:bookmarkEnd w:id="1"/>
      <w:r>
        <w:rPr>
          <w:rFonts w:hint="default" w:ascii="Times New Roman" w:hAnsi="Times New Roman" w:eastAsia="仿宋_GB2312" w:cs="Times New Roman"/>
          <w:color w:val="000000"/>
          <w:kern w:val="0"/>
          <w:sz w:val="32"/>
          <w:szCs w:val="32"/>
        </w:rPr>
        <w:t>量，充分展示项目成果效益相关资料和数据。</w:t>
      </w:r>
    </w:p>
    <w:p>
      <w:pPr>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color w:val="000000"/>
          <w:kern w:val="0"/>
          <w:sz w:val="32"/>
          <w:szCs w:val="32"/>
        </w:rPr>
      </w:pPr>
    </w:p>
    <w:p>
      <w:pPr>
        <w:keepNext w:val="0"/>
        <w:keepLines w:val="0"/>
        <w:pageBreakBefore w:val="0"/>
        <w:widowControl w:val="0"/>
        <w:kinsoku/>
        <w:wordWrap w:val="0"/>
        <w:overflowPunct/>
        <w:topLinePunct w:val="0"/>
        <w:autoSpaceDE/>
        <w:autoSpaceDN/>
        <w:bidi w:val="0"/>
        <w:adjustRightInd/>
        <w:snapToGrid/>
        <w:ind w:right="0" w:rightChars="0" w:firstLine="640" w:firstLineChars="200"/>
        <w:textAlignment w:val="auto"/>
        <w:outlineLvl w:val="9"/>
        <w:rPr>
          <w:rFonts w:hint="default" w:ascii="Times New Roman" w:hAnsi="Times New Roman" w:eastAsia="仿宋_GB2312" w:cs="Times New Roman"/>
          <w:color w:val="000000"/>
          <w:kern w:val="0"/>
          <w:sz w:val="32"/>
          <w:szCs w:val="32"/>
        </w:rPr>
      </w:pPr>
    </w:p>
    <w:p>
      <w:pPr>
        <w:keepNext w:val="0"/>
        <w:keepLines w:val="0"/>
        <w:pageBreakBefore w:val="0"/>
        <w:widowControl w:val="0"/>
        <w:kinsoku/>
        <w:wordWrap w:val="0"/>
        <w:overflowPunct/>
        <w:topLinePunct w:val="0"/>
        <w:autoSpaceDE/>
        <w:autoSpaceDN/>
        <w:bidi w:val="0"/>
        <w:adjustRightInd/>
        <w:snapToGrid/>
        <w:ind w:right="0" w:rightChars="0" w:firstLine="640" w:firstLineChars="200"/>
        <w:jc w:val="right"/>
        <w:textAlignment w:val="auto"/>
        <w:outlineLvl w:val="9"/>
        <w:rPr>
          <w:rFonts w:hint="default" w:ascii="Times New Roman" w:hAnsi="Times New Roman" w:cs="Times New Roman"/>
        </w:rPr>
      </w:pPr>
      <w:r>
        <w:rPr>
          <w:rFonts w:hint="default" w:ascii="Times New Roman" w:hAnsi="Times New Roman" w:eastAsia="仿宋_GB2312" w:cs="Times New Roman"/>
          <w:color w:val="000000"/>
          <w:kern w:val="0"/>
          <w:sz w:val="32"/>
          <w:szCs w:val="32"/>
        </w:rPr>
        <w:t xml:space="preserve">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- 1 -</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- 1 -</w:t>
                    </w:r>
                    <w:r>
                      <w:rPr>
                        <w:rFonts w:hint="eastAsia"/>
                        <w:sz w:val="18"/>
                        <w:lang w:eastAsia="zh-CN"/>
                      </w:rPr>
                      <w:fldChar w:fldCharType="end"/>
                    </w: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57202C"/>
    <w:rsid w:val="005E3946"/>
    <w:rsid w:val="00B03B70"/>
    <w:rsid w:val="00CF07EE"/>
    <w:rsid w:val="00E617B2"/>
    <w:rsid w:val="00F42C33"/>
    <w:rsid w:val="06160631"/>
    <w:rsid w:val="06590943"/>
    <w:rsid w:val="08D4727E"/>
    <w:rsid w:val="0AF62277"/>
    <w:rsid w:val="1A3A7BAD"/>
    <w:rsid w:val="1C594A7B"/>
    <w:rsid w:val="1CFA34F8"/>
    <w:rsid w:val="201D4401"/>
    <w:rsid w:val="255D778F"/>
    <w:rsid w:val="2F321339"/>
    <w:rsid w:val="36957C9F"/>
    <w:rsid w:val="3819471C"/>
    <w:rsid w:val="3822209C"/>
    <w:rsid w:val="3A167B0E"/>
    <w:rsid w:val="3DFA317F"/>
    <w:rsid w:val="468A62F9"/>
    <w:rsid w:val="4CF81445"/>
    <w:rsid w:val="573E7A7F"/>
    <w:rsid w:val="5B1D39DF"/>
    <w:rsid w:val="5E423AFE"/>
    <w:rsid w:val="649C4F13"/>
    <w:rsid w:val="64E52F6A"/>
    <w:rsid w:val="69C91FDD"/>
    <w:rsid w:val="6FDA7A28"/>
    <w:rsid w:val="709E400C"/>
    <w:rsid w:val="7E4B42DD"/>
    <w:rsid w:val="7E941A58"/>
    <w:rsid w:val="7F027E80"/>
    <w:rsid w:val="7F941D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200" w:firstLineChars="200"/>
    </w:p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Words>
  <Characters>430</Characters>
  <Lines>3</Lines>
  <Paragraphs>1</Paragraphs>
  <TotalTime>1</TotalTime>
  <ScaleCrop>false</ScaleCrop>
  <LinksUpToDate>false</LinksUpToDate>
  <CharactersWithSpaces>504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李锦钰</cp:lastModifiedBy>
  <cp:lastPrinted>2025-02-19T08:37:00Z</cp:lastPrinted>
  <dcterms:modified xsi:type="dcterms:W3CDTF">2025-08-27T07:44:51Z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